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571"/>
      </w:tblGrid>
      <w:tr w:rsidR="004C5CA7" w:rsidRPr="00CD0055" w:rsidTr="00E13236">
        <w:trPr>
          <w:jc w:val="center"/>
        </w:trPr>
        <w:tc>
          <w:tcPr>
            <w:tcW w:w="8820" w:type="dxa"/>
            <w:gridSpan w:val="2"/>
            <w:hideMark/>
          </w:tcPr>
          <w:p w:rsidR="004C5CA7" w:rsidRPr="004C5CA7" w:rsidRDefault="004C5CA7" w:rsidP="004C5CA7">
            <w:pPr>
              <w:jc w:val="both"/>
              <w:rPr>
                <w:b/>
                <w:bCs/>
                <w:sz w:val="26"/>
                <w:szCs w:val="26"/>
              </w:rPr>
            </w:pPr>
            <w:r w:rsidRPr="004739A3">
              <w:rPr>
                <w:rFonts w:hint="cs"/>
                <w:b/>
                <w:bCs/>
                <w:sz w:val="32"/>
                <w:szCs w:val="32"/>
                <w:rtl/>
              </w:rPr>
              <w:t xml:space="preserve">לפני </w:t>
            </w:r>
            <w:r w:rsidRPr="004739A3">
              <w:rPr>
                <w:rFonts w:ascii="Arial" w:hAnsi="Arial" w:hint="cs"/>
                <w:b/>
                <w:bCs/>
                <w:sz w:val="32"/>
                <w:szCs w:val="32"/>
                <w:rtl/>
              </w:rPr>
              <w:t>כבוד ה</w:t>
            </w:r>
            <w:sdt>
              <w:sdtPr>
                <w:rPr>
                  <w:sz w:val="32"/>
                  <w:szCs w:val="32"/>
                  <w:rtl/>
                </w:rPr>
                <w:alias w:val="1574"/>
                <w:tag w:val="1574"/>
                <w:id w:val="-868990752"/>
                <w:text w:multiLine="1"/>
              </w:sdtPr>
              <w:sdtEndPr/>
              <w:sdtContent>
                <w:r w:rsidRPr="004739A3">
                  <w:rPr>
                    <w:rFonts w:ascii="Arial" w:hAnsi="Arial"/>
                    <w:b/>
                    <w:bCs/>
                    <w:sz w:val="32"/>
                    <w:szCs w:val="32"/>
                    <w:rtl/>
                  </w:rPr>
                  <w:t>שופט</w:t>
                </w:r>
              </w:sdtContent>
            </w:sdt>
            <w:r w:rsidRPr="004739A3">
              <w:rPr>
                <w:rFonts w:ascii="Arial" w:hAnsi="Arial" w:hint="cs"/>
                <w:b/>
                <w:bCs/>
                <w:sz w:val="32"/>
                <w:szCs w:val="32"/>
                <w:rtl/>
              </w:rPr>
              <w:t xml:space="preserve"> </w:t>
            </w:r>
            <w:sdt>
              <w:sdtPr>
                <w:rPr>
                  <w:sz w:val="32"/>
                  <w:szCs w:val="32"/>
                  <w:rtl/>
                </w:rPr>
                <w:alias w:val="1573"/>
                <w:tag w:val="1573"/>
                <w:id w:val="407734867"/>
                <w:text w:multiLine="1"/>
              </w:sdtPr>
              <w:sdtEndPr/>
              <w:sdtContent>
                <w:r w:rsidRPr="004739A3">
                  <w:rPr>
                    <w:rFonts w:ascii="Arial" w:hAnsi="Arial"/>
                    <w:b/>
                    <w:bCs/>
                    <w:sz w:val="32"/>
                    <w:szCs w:val="32"/>
                    <w:rtl/>
                  </w:rPr>
                  <w:t>אביים ברקאי</w:t>
                </w:r>
              </w:sdtContent>
            </w:sdt>
          </w:p>
        </w:tc>
      </w:tr>
      <w:tr w:rsidR="006816EC" w:rsidRPr="00CD0055" w:rsidTr="006816EC">
        <w:trPr>
          <w:jc w:val="center"/>
        </w:trPr>
        <w:tc>
          <w:tcPr>
            <w:tcW w:w="3249" w:type="dxa"/>
          </w:tcPr>
          <w:p w:rsidR="006816EC" w:rsidRPr="00CD0055" w:rsidRDefault="006816EC">
            <w:pPr>
              <w:bidi w:val="0"/>
              <w:rPr>
                <w:rFonts w:ascii="Arial (W1)" w:hAnsi="Arial (W1)"/>
                <w:b/>
                <w:bCs/>
                <w:noProof w:val="0"/>
                <w:sz w:val="26"/>
                <w:szCs w:val="26"/>
                <w:rtl/>
              </w:rPr>
            </w:pPr>
          </w:p>
          <w:p w:rsidR="004739A3" w:rsidRDefault="004739A3" w:rsidP="004739A3">
            <w:pPr>
              <w:rPr>
                <w:b/>
                <w:bCs/>
                <w:sz w:val="26"/>
                <w:szCs w:val="26"/>
                <w:rtl/>
              </w:rPr>
            </w:pPr>
          </w:p>
          <w:p w:rsidR="004739A3" w:rsidRDefault="004739A3" w:rsidP="004739A3">
            <w:pPr>
              <w:rPr>
                <w:b/>
                <w:bCs/>
                <w:sz w:val="26"/>
                <w:szCs w:val="26"/>
                <w:rtl/>
              </w:rPr>
            </w:pPr>
          </w:p>
          <w:p w:rsidR="006816EC" w:rsidRPr="00CD0055" w:rsidRDefault="00A62BD0" w:rsidP="004739A3">
            <w:pPr>
              <w:rPr>
                <w:rFonts w:ascii="Arial (W1)" w:hAnsi="Arial (W1)"/>
                <w:b/>
                <w:bCs/>
                <w:noProof w:val="0"/>
                <w:sz w:val="26"/>
                <w:szCs w:val="26"/>
              </w:rPr>
            </w:pPr>
            <w:r w:rsidRPr="00A62BD0">
              <w:rPr>
                <w:rFonts w:hint="cs"/>
                <w:b/>
                <w:bCs/>
                <w:sz w:val="26"/>
                <w:szCs w:val="26"/>
                <w:rtl/>
              </w:rPr>
              <w:t>ה</w:t>
            </w:r>
            <w:sdt>
              <w:sdtPr>
                <w:rPr>
                  <w:rFonts w:hint="cs"/>
                  <w:sz w:val="26"/>
                  <w:szCs w:val="26"/>
                  <w:rtl/>
                </w:rPr>
                <w:alias w:val="1180"/>
                <w:tag w:val="1180"/>
                <w:id w:val="-803768281"/>
                <w:text w:multiLine="1"/>
              </w:sdtPr>
              <w:sdtEndPr/>
              <w:sdtContent>
                <w:r>
                  <w:rPr>
                    <w:rFonts w:hint="cs"/>
                    <w:b/>
                    <w:bCs/>
                    <w:noProof w:val="0"/>
                    <w:sz w:val="26"/>
                    <w:szCs w:val="26"/>
                    <w:rtl/>
                  </w:rPr>
                  <w:t>תובע</w:t>
                </w:r>
                <w:r w:rsidR="004739A3">
                  <w:rPr>
                    <w:rFonts w:hint="cs"/>
                    <w:b/>
                    <w:bCs/>
                    <w:noProof w:val="0"/>
                    <w:sz w:val="26"/>
                    <w:szCs w:val="26"/>
                    <w:rtl/>
                  </w:rPr>
                  <w:t>ת</w:t>
                </w:r>
              </w:sdtContent>
            </w:sdt>
            <w:r w:rsidRPr="00A62BD0">
              <w:rPr>
                <w:rFonts w:hint="cs"/>
                <w:b/>
                <w:bCs/>
                <w:sz w:val="26"/>
                <w:szCs w:val="26"/>
                <w:rtl/>
              </w:rPr>
              <w:t>:</w:t>
            </w:r>
          </w:p>
        </w:tc>
        <w:tc>
          <w:tcPr>
            <w:tcW w:w="5571" w:type="dxa"/>
          </w:tcPr>
          <w:p w:rsidR="006816EC" w:rsidRPr="00CD0055" w:rsidRDefault="006816EC">
            <w:pPr>
              <w:rPr>
                <w:rFonts w:ascii="Arial (W1)" w:hAnsi="Arial (W1)"/>
                <w:b/>
                <w:bCs/>
                <w:noProof w:val="0"/>
                <w:sz w:val="26"/>
                <w:szCs w:val="26"/>
                <w:rtl/>
              </w:rPr>
            </w:pPr>
          </w:p>
          <w:p w:rsidR="004739A3" w:rsidRDefault="00590BFF" w:rsidP="00590BFF">
            <w:pPr>
              <w:suppressLineNumbers/>
              <w:rPr>
                <w:rFonts w:ascii="Arial" w:hAnsi="Arial"/>
                <w:b/>
                <w:bCs/>
                <w:noProof w:val="0"/>
                <w:sz w:val="26"/>
                <w:szCs w:val="26"/>
                <w:rtl/>
              </w:rPr>
            </w:pPr>
            <w:r>
              <w:rPr>
                <w:rFonts w:ascii="Arial" w:hAnsi="Arial"/>
                <w:b/>
                <w:bCs/>
                <w:noProof w:val="0"/>
                <w:sz w:val="26"/>
                <w:szCs w:val="26"/>
                <w:rtl/>
              </w:rPr>
              <w:t xml:space="preserve"> </w:t>
            </w:r>
          </w:p>
          <w:p w:rsidR="004739A3" w:rsidRDefault="004739A3" w:rsidP="00590BFF">
            <w:pPr>
              <w:suppressLineNumbers/>
              <w:rPr>
                <w:rFonts w:ascii="Arial" w:hAnsi="Arial"/>
                <w:b/>
                <w:bCs/>
                <w:noProof w:val="0"/>
                <w:sz w:val="26"/>
                <w:szCs w:val="26"/>
                <w:rtl/>
              </w:rPr>
            </w:pPr>
          </w:p>
          <w:p w:rsidR="00590BFF" w:rsidRDefault="00D23CD3" w:rsidP="00590BFF">
            <w:pPr>
              <w:suppressLineNumbers/>
            </w:pPr>
            <w:sdt>
              <w:sdtPr>
                <w:rPr>
                  <w:rFonts w:ascii="Arial" w:hAnsi="Arial"/>
                  <w:b/>
                  <w:bCs/>
                  <w:noProof w:val="0"/>
                  <w:sz w:val="26"/>
                  <w:szCs w:val="26"/>
                  <w:rtl/>
                </w:rPr>
                <w:alias w:val="3151"/>
                <w:tag w:val="3151"/>
                <w:id w:val="1398553265"/>
                <w:placeholder>
                  <w:docPart w:val="CF23C55E153C472887A89D9B7136BCD7"/>
                </w:placeholder>
                <w:text w:multiLine="1"/>
              </w:sdtPr>
              <w:sdtEndPr/>
              <w:sdtContent>
                <w:r w:rsidR="00445367">
                  <w:rPr>
                    <w:rFonts w:ascii="Arial" w:hAnsi="Arial"/>
                    <w:b/>
                    <w:bCs/>
                    <w:noProof w:val="0"/>
                    <w:sz w:val="26"/>
                    <w:szCs w:val="26"/>
                    <w:rtl/>
                  </w:rPr>
                  <w:t>אורלי בלסיאנו</w:t>
                </w:r>
              </w:sdtContent>
            </w:sdt>
          </w:p>
          <w:p w:rsidR="006816EC" w:rsidRPr="00590BFF" w:rsidRDefault="006816EC" w:rsidP="00934F1C">
            <w:pPr>
              <w:rPr>
                <w:sz w:val="26"/>
                <w:szCs w:val="26"/>
              </w:rPr>
            </w:pPr>
          </w:p>
        </w:tc>
      </w:tr>
      <w:tr w:rsidR="006816EC" w:rsidRPr="00CD0055" w:rsidTr="006816EC">
        <w:trPr>
          <w:jc w:val="center"/>
        </w:trPr>
        <w:tc>
          <w:tcPr>
            <w:tcW w:w="8820" w:type="dxa"/>
            <w:gridSpan w:val="2"/>
          </w:tcPr>
          <w:p w:rsidR="006816EC" w:rsidRPr="00CD0055" w:rsidRDefault="006816EC">
            <w:pPr>
              <w:rPr>
                <w:rFonts w:ascii="Arial (W1)" w:hAnsi="Arial (W1)"/>
                <w:b/>
                <w:bCs/>
                <w:noProof w:val="0"/>
                <w:sz w:val="26"/>
                <w:szCs w:val="26"/>
                <w:rtl/>
              </w:rPr>
            </w:pPr>
          </w:p>
          <w:p w:rsidR="006816EC" w:rsidRPr="00CD0055" w:rsidRDefault="006816EC">
            <w:pPr>
              <w:jc w:val="center"/>
              <w:rPr>
                <w:b/>
                <w:bCs/>
                <w:noProof w:val="0"/>
                <w:sz w:val="26"/>
                <w:szCs w:val="26"/>
                <w:rtl/>
              </w:rPr>
            </w:pPr>
            <w:r w:rsidRPr="00CD0055">
              <w:rPr>
                <w:rFonts w:hint="cs"/>
                <w:b/>
                <w:bCs/>
                <w:noProof w:val="0"/>
                <w:sz w:val="26"/>
                <w:szCs w:val="26"/>
                <w:rtl/>
              </w:rPr>
              <w:t>נגד</w:t>
            </w:r>
          </w:p>
          <w:p w:rsidR="006816EC" w:rsidRPr="00A62BD0" w:rsidRDefault="006816EC">
            <w:pPr>
              <w:rPr>
                <w:rFonts w:ascii="Arial (W1)" w:hAnsi="Arial (W1)"/>
                <w:b/>
                <w:bCs/>
                <w:noProof w:val="0"/>
                <w:sz w:val="22"/>
                <w:szCs w:val="22"/>
              </w:rPr>
            </w:pPr>
          </w:p>
        </w:tc>
      </w:tr>
      <w:tr w:rsidR="006816EC" w:rsidRPr="00CD0055" w:rsidTr="006816EC">
        <w:trPr>
          <w:jc w:val="center"/>
        </w:trPr>
        <w:tc>
          <w:tcPr>
            <w:tcW w:w="3249" w:type="dxa"/>
          </w:tcPr>
          <w:p w:rsidR="006816EC" w:rsidRPr="00CD0055" w:rsidRDefault="006816EC">
            <w:pPr>
              <w:rPr>
                <w:rFonts w:ascii="Arial (W1)" w:hAnsi="Arial (W1)"/>
                <w:b/>
                <w:bCs/>
                <w:noProof w:val="0"/>
                <w:sz w:val="26"/>
                <w:szCs w:val="26"/>
                <w:rtl/>
              </w:rPr>
            </w:pPr>
          </w:p>
          <w:p w:rsidR="006816EC" w:rsidRPr="00CD0055" w:rsidRDefault="00A62BD0" w:rsidP="004739A3">
            <w:pPr>
              <w:rPr>
                <w:rFonts w:ascii="Arial (W1)" w:hAnsi="Arial (W1)"/>
                <w:b/>
                <w:bCs/>
                <w:noProof w:val="0"/>
                <w:sz w:val="26"/>
                <w:szCs w:val="26"/>
              </w:rPr>
            </w:pPr>
            <w:r w:rsidRPr="00A62BD0">
              <w:rPr>
                <w:rFonts w:hint="cs"/>
                <w:b/>
                <w:bCs/>
                <w:sz w:val="26"/>
                <w:szCs w:val="26"/>
                <w:rtl/>
              </w:rPr>
              <w:t>ה</w:t>
            </w:r>
            <w:sdt>
              <w:sdtPr>
                <w:rPr>
                  <w:rFonts w:hint="cs"/>
                  <w:sz w:val="26"/>
                  <w:szCs w:val="26"/>
                  <w:rtl/>
                </w:rPr>
                <w:alias w:val="1184"/>
                <w:tag w:val="1184"/>
                <w:id w:val="-910234160"/>
                <w:text w:multiLine="1"/>
              </w:sdtPr>
              <w:sdtEndPr/>
              <w:sdtContent>
                <w:r>
                  <w:rPr>
                    <w:rFonts w:hint="cs"/>
                    <w:b/>
                    <w:bCs/>
                    <w:noProof w:val="0"/>
                    <w:sz w:val="26"/>
                    <w:szCs w:val="26"/>
                    <w:rtl/>
                  </w:rPr>
                  <w:t>נתבע</w:t>
                </w:r>
                <w:r w:rsidR="004739A3">
                  <w:rPr>
                    <w:rFonts w:hint="cs"/>
                    <w:b/>
                    <w:bCs/>
                    <w:noProof w:val="0"/>
                    <w:sz w:val="26"/>
                    <w:szCs w:val="26"/>
                    <w:rtl/>
                  </w:rPr>
                  <w:t>ת</w:t>
                </w:r>
              </w:sdtContent>
            </w:sdt>
            <w:r>
              <w:rPr>
                <w:rFonts w:ascii="Arial (W1)" w:hAnsi="Arial (W1)" w:hint="cs"/>
                <w:b/>
                <w:bCs/>
                <w:noProof w:val="0"/>
                <w:sz w:val="26"/>
                <w:szCs w:val="26"/>
                <w:rtl/>
              </w:rPr>
              <w:t>:</w:t>
            </w:r>
          </w:p>
        </w:tc>
        <w:tc>
          <w:tcPr>
            <w:tcW w:w="5571" w:type="dxa"/>
          </w:tcPr>
          <w:p w:rsidR="006816EC" w:rsidRPr="00CD0055" w:rsidRDefault="006816EC">
            <w:pPr>
              <w:rPr>
                <w:rFonts w:ascii="Arial (W1)" w:hAnsi="Arial (W1)"/>
                <w:b/>
                <w:bCs/>
                <w:noProof w:val="0"/>
                <w:sz w:val="26"/>
                <w:szCs w:val="26"/>
                <w:rtl/>
              </w:rPr>
            </w:pPr>
          </w:p>
          <w:p w:rsidR="00590BFF" w:rsidRDefault="00590BFF" w:rsidP="00590BFF">
            <w:pPr>
              <w:suppressLineNumbers/>
            </w:pPr>
            <w:r>
              <w:rPr>
                <w:rFonts w:ascii="Arial" w:hAnsi="Arial"/>
                <w:b/>
                <w:bCs/>
                <w:noProof w:val="0"/>
                <w:sz w:val="26"/>
                <w:szCs w:val="26"/>
                <w:rtl/>
              </w:rPr>
              <w:t xml:space="preserve"> </w:t>
            </w:r>
            <w:sdt>
              <w:sdtPr>
                <w:rPr>
                  <w:rFonts w:ascii="Arial" w:hAnsi="Arial"/>
                  <w:b/>
                  <w:bCs/>
                  <w:noProof w:val="0"/>
                  <w:sz w:val="26"/>
                  <w:szCs w:val="26"/>
                  <w:rtl/>
                </w:rPr>
                <w:alias w:val="3152"/>
                <w:tag w:val="3152"/>
                <w:id w:val="1920052440"/>
                <w:placeholder>
                  <w:docPart w:val="194E34B33324450F97AD1D486216FCF5"/>
                </w:placeholder>
                <w:text w:multiLine="1"/>
              </w:sdtPr>
              <w:sdtEndPr/>
              <w:sdtContent>
                <w:r w:rsidR="00445367">
                  <w:rPr>
                    <w:rFonts w:ascii="Arial" w:hAnsi="Arial"/>
                    <w:b/>
                    <w:bCs/>
                    <w:noProof w:val="0"/>
                    <w:sz w:val="26"/>
                    <w:szCs w:val="26"/>
                    <w:rtl/>
                  </w:rPr>
                  <w:t>עיריית בת ים</w:t>
                </w:r>
              </w:sdtContent>
            </w:sdt>
          </w:p>
          <w:p w:rsidR="006816EC" w:rsidRPr="00590BFF" w:rsidRDefault="006816EC" w:rsidP="00934F1C">
            <w:pPr>
              <w:rPr>
                <w:sz w:val="26"/>
                <w:szCs w:val="26"/>
              </w:rPr>
            </w:pPr>
          </w:p>
        </w:tc>
      </w:tr>
    </w:tbl>
    <w:p w:rsidR="006816EC" w:rsidRPr="004739A3" w:rsidRDefault="006816EC" w:rsidP="00E13360">
      <w:pPr>
        <w:suppressLineNumbers/>
        <w:rPr>
          <w:rFonts w:ascii="Arial (W1)" w:hAnsi="Arial (W1)"/>
          <w:rtl/>
        </w:rPr>
      </w:pPr>
    </w:p>
    <w:p w:rsidR="004739A3" w:rsidRPr="004739A3" w:rsidRDefault="004739A3" w:rsidP="004739A3">
      <w:pPr>
        <w:suppressLineNumbers/>
        <w:ind w:left="-624"/>
        <w:rPr>
          <w:rFonts w:ascii="Arial (W1)" w:hAnsi="Arial (W1)"/>
          <w:rtl/>
        </w:rPr>
      </w:pPr>
      <w:r w:rsidRPr="004739A3">
        <w:rPr>
          <w:rFonts w:ascii="Arial (W1)" w:hAnsi="Arial (W1)" w:hint="cs"/>
          <w:rtl/>
        </w:rPr>
        <w:t>ב"כ התובעת:</w:t>
      </w:r>
      <w:r w:rsidRPr="004739A3">
        <w:rPr>
          <w:rFonts w:ascii="Arial (W1)" w:hAnsi="Arial (W1)"/>
          <w:rtl/>
        </w:rPr>
        <w:tab/>
      </w:r>
      <w:r w:rsidRPr="004739A3">
        <w:rPr>
          <w:rFonts w:ascii="Arial (W1)" w:hAnsi="Arial (W1)" w:hint="cs"/>
          <w:rtl/>
        </w:rPr>
        <w:t>עו"ד אבי הורביץ</w:t>
      </w:r>
    </w:p>
    <w:p w:rsidR="004739A3" w:rsidRPr="004739A3" w:rsidRDefault="004739A3" w:rsidP="004739A3">
      <w:pPr>
        <w:suppressLineNumbers/>
        <w:ind w:left="-624"/>
        <w:rPr>
          <w:rFonts w:ascii="Arial (W1)" w:hAnsi="Arial (W1)"/>
          <w:rtl/>
        </w:rPr>
      </w:pPr>
      <w:r w:rsidRPr="004739A3">
        <w:rPr>
          <w:rFonts w:ascii="Arial (W1)" w:hAnsi="Arial (W1)" w:hint="cs"/>
          <w:rtl/>
        </w:rPr>
        <w:t>ב"כ הנתבעת:</w:t>
      </w:r>
      <w:r w:rsidRPr="004739A3">
        <w:rPr>
          <w:rFonts w:ascii="Arial (W1)" w:hAnsi="Arial (W1)"/>
          <w:rtl/>
        </w:rPr>
        <w:tab/>
      </w:r>
      <w:r w:rsidRPr="004739A3">
        <w:rPr>
          <w:rFonts w:ascii="Arial (W1)" w:hAnsi="Arial (W1)" w:hint="cs"/>
          <w:rtl/>
        </w:rPr>
        <w:t>עו"ד נור</w:t>
      </w:r>
      <w:r>
        <w:rPr>
          <w:rFonts w:ascii="Arial (W1)" w:hAnsi="Arial (W1)" w:hint="cs"/>
          <w:rtl/>
        </w:rPr>
        <w:t>י</w:t>
      </w:r>
      <w:r w:rsidRPr="004739A3">
        <w:rPr>
          <w:rFonts w:ascii="Arial (W1)" w:hAnsi="Arial (W1)" w:hint="cs"/>
          <w:rtl/>
        </w:rPr>
        <w:t xml:space="preserve"> קונפורטי</w:t>
      </w:r>
    </w:p>
    <w:p w:rsidR="004739A3" w:rsidRPr="00E13360" w:rsidRDefault="004739A3" w:rsidP="00E13360">
      <w:pPr>
        <w:suppressLineNumbers/>
        <w:rPr>
          <w:rFonts w:ascii="Arial (W1)" w:hAnsi="Arial (W1)"/>
          <w:sz w:val="28"/>
          <w:szCs w:val="28"/>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sidRPr="004739A3">
              <w:rPr>
                <w:rFonts w:ascii="Arial" w:hAnsi="Arial"/>
                <w:b/>
                <w:bCs/>
                <w:noProof w:val="0"/>
                <w:sz w:val="40"/>
                <w:szCs w:val="40"/>
                <w:u w:val="single"/>
                <w:rtl/>
              </w:rPr>
              <w:t>פסק דין</w:t>
            </w:r>
          </w:p>
        </w:tc>
      </w:tr>
    </w:tbl>
    <w:p w:rsidR="00694556" w:rsidRDefault="00694556">
      <w:pPr>
        <w:spacing w:line="360" w:lineRule="auto"/>
        <w:jc w:val="both"/>
        <w:rPr>
          <w:rFonts w:ascii="Arial" w:hAnsi="Arial"/>
          <w:noProof w:val="0"/>
          <w:rtl/>
        </w:rPr>
      </w:pPr>
    </w:p>
    <w:p w:rsidR="004739A3" w:rsidRDefault="004739A3" w:rsidP="004739A3">
      <w:pPr>
        <w:pStyle w:val="ad"/>
        <w:spacing w:line="360" w:lineRule="auto"/>
        <w:ind w:left="-739"/>
        <w:jc w:val="both"/>
        <w:rPr>
          <w:rFonts w:ascii="David" w:hAnsi="David" w:cs="David"/>
          <w:b/>
          <w:bCs/>
          <w:sz w:val="28"/>
          <w:szCs w:val="28"/>
          <w:u w:val="single"/>
        </w:rPr>
      </w:pPr>
      <w:r>
        <w:rPr>
          <w:rFonts w:ascii="David" w:hAnsi="David" w:cs="David"/>
          <w:b/>
          <w:bCs/>
          <w:sz w:val="28"/>
          <w:szCs w:val="28"/>
          <w:u w:val="single"/>
          <w:rtl/>
        </w:rPr>
        <w:t xml:space="preserve">חלק ראשון - פתח דבר </w:t>
      </w:r>
    </w:p>
    <w:p w:rsidR="004739A3" w:rsidRDefault="004739A3" w:rsidP="004739A3">
      <w:pPr>
        <w:pStyle w:val="ad"/>
        <w:spacing w:line="360" w:lineRule="auto"/>
        <w:ind w:left="-172"/>
        <w:jc w:val="both"/>
        <w:rPr>
          <w:rFonts w:ascii="David" w:hAnsi="David" w:cs="David"/>
          <w:sz w:val="24"/>
          <w:szCs w:val="24"/>
          <w:rtl/>
        </w:rPr>
      </w:pPr>
    </w:p>
    <w:p w:rsidR="004739A3" w:rsidRDefault="004739A3" w:rsidP="004739A3">
      <w:pPr>
        <w:pStyle w:val="ad"/>
        <w:numPr>
          <w:ilvl w:val="0"/>
          <w:numId w:val="1"/>
        </w:numPr>
        <w:spacing w:line="360" w:lineRule="auto"/>
        <w:ind w:left="-172" w:hanging="284"/>
        <w:jc w:val="both"/>
        <w:rPr>
          <w:rFonts w:ascii="David" w:hAnsi="David" w:cs="David"/>
          <w:sz w:val="24"/>
          <w:szCs w:val="24"/>
        </w:rPr>
      </w:pPr>
      <w:r>
        <w:rPr>
          <w:rFonts w:ascii="David" w:hAnsi="David" w:cs="David"/>
          <w:b/>
          <w:bCs/>
          <w:sz w:val="24"/>
          <w:szCs w:val="24"/>
          <w:u w:val="single"/>
          <w:rtl/>
        </w:rPr>
        <w:t>המחלוקת בין הצדדים</w:t>
      </w:r>
    </w:p>
    <w:p w:rsidR="004739A3" w:rsidRDefault="004739A3" w:rsidP="004739A3">
      <w:pPr>
        <w:pStyle w:val="ad"/>
        <w:numPr>
          <w:ilvl w:val="1"/>
          <w:numId w:val="1"/>
        </w:numPr>
        <w:spacing w:line="360" w:lineRule="auto"/>
        <w:ind w:left="395" w:hanging="567"/>
        <w:jc w:val="both"/>
        <w:rPr>
          <w:rFonts w:ascii="David" w:hAnsi="David" w:cs="David"/>
          <w:sz w:val="24"/>
          <w:szCs w:val="24"/>
        </w:rPr>
      </w:pPr>
      <w:r>
        <w:rPr>
          <w:rFonts w:ascii="David" w:hAnsi="David" w:cs="David"/>
          <w:b/>
          <w:bCs/>
          <w:sz w:val="24"/>
          <w:szCs w:val="24"/>
          <w:u w:val="single"/>
          <w:rtl/>
        </w:rPr>
        <w:t>עניינו של פסק הדין</w:t>
      </w:r>
    </w:p>
    <w:p w:rsidR="004739A3" w:rsidRDefault="004739A3" w:rsidP="004739A3">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עניינו של פסק דין זה הוא עתירת התובעת לביטול פסק דין שניתן בעניינה, לאחר ארבע שנות התדיינות,  במסגרת ת"א (שלום תל אביב יפו) 32888-07-17, </w:t>
      </w:r>
      <w:r>
        <w:rPr>
          <w:rFonts w:ascii="David" w:hAnsi="David" w:cs="David"/>
          <w:sz w:val="24"/>
          <w:szCs w:val="24"/>
          <w:u w:val="single"/>
          <w:rtl/>
        </w:rPr>
        <w:t>עיריית בת ים נגד אורלי בליסיאנו</w:t>
      </w:r>
      <w:r>
        <w:rPr>
          <w:rFonts w:ascii="David" w:hAnsi="David" w:cs="David"/>
          <w:sz w:val="24"/>
          <w:szCs w:val="24"/>
          <w:rtl/>
        </w:rPr>
        <w:t xml:space="preserve"> (מיום 6/6/2021, הש' ע' הדר).</w:t>
      </w:r>
    </w:p>
    <w:p w:rsidR="004739A3" w:rsidRDefault="004739A3" w:rsidP="004739A3">
      <w:pPr>
        <w:pStyle w:val="ad"/>
        <w:spacing w:line="360" w:lineRule="auto"/>
        <w:ind w:left="395"/>
        <w:jc w:val="both"/>
        <w:rPr>
          <w:rFonts w:ascii="David" w:hAnsi="David" w:cs="David"/>
          <w:sz w:val="24"/>
          <w:szCs w:val="24"/>
        </w:rPr>
      </w:pPr>
    </w:p>
    <w:p w:rsidR="004739A3" w:rsidRDefault="004739A3" w:rsidP="004739A3">
      <w:pPr>
        <w:pStyle w:val="ad"/>
        <w:numPr>
          <w:ilvl w:val="0"/>
          <w:numId w:val="2"/>
        </w:numPr>
        <w:spacing w:line="360" w:lineRule="auto"/>
        <w:jc w:val="both"/>
        <w:rPr>
          <w:rFonts w:ascii="David" w:hAnsi="David" w:cs="David"/>
          <w:sz w:val="24"/>
          <w:szCs w:val="24"/>
          <w:rtl/>
        </w:rPr>
      </w:pPr>
      <w:r>
        <w:rPr>
          <w:rFonts w:ascii="David" w:hAnsi="David" w:cs="David"/>
          <w:sz w:val="24"/>
          <w:szCs w:val="24"/>
          <w:rtl/>
        </w:rPr>
        <w:t xml:space="preserve">התובעת אשר מלינה על מסקנות חוות דעת מומחה בית המשפט </w:t>
      </w:r>
      <w:r>
        <w:rPr>
          <w:rFonts w:ascii="David" w:hAnsi="David" w:cs="David"/>
          <w:sz w:val="24"/>
          <w:szCs w:val="24"/>
          <w:u w:val="single"/>
          <w:rtl/>
        </w:rPr>
        <w:t>כלל לא</w:t>
      </w:r>
      <w:r>
        <w:rPr>
          <w:rFonts w:ascii="David" w:hAnsi="David" w:cs="David"/>
          <w:sz w:val="24"/>
          <w:szCs w:val="24"/>
          <w:rtl/>
        </w:rPr>
        <w:t xml:space="preserve"> הגישה ערעור על פסק הדין אותו היא מבקשת לבטל (להלן: </w:t>
      </w:r>
      <w:r>
        <w:rPr>
          <w:rFonts w:ascii="David" w:hAnsi="David" w:cs="David"/>
          <w:b/>
          <w:bCs/>
          <w:sz w:val="24"/>
          <w:szCs w:val="24"/>
          <w:rtl/>
        </w:rPr>
        <w:t>"פסק הדין המקורי"</w:t>
      </w:r>
      <w:r>
        <w:rPr>
          <w:rFonts w:ascii="David" w:hAnsi="David" w:cs="David"/>
          <w:sz w:val="24"/>
          <w:szCs w:val="24"/>
          <w:rtl/>
        </w:rPr>
        <w:t xml:space="preserve">). עם זאת, כשנה לאחר שניתן פסק הדין המקורי – הגישה התובעת את תביעתה כאן לביטולו. בתמצית ייאמר שהתובעת טוענת לכך שהנתבעת (שתיקרא להלן: </w:t>
      </w:r>
      <w:r>
        <w:rPr>
          <w:rFonts w:ascii="David" w:hAnsi="David" w:cs="David"/>
          <w:b/>
          <w:bCs/>
          <w:sz w:val="24"/>
          <w:szCs w:val="24"/>
          <w:rtl/>
        </w:rPr>
        <w:t>"עיריית בת ים"</w:t>
      </w:r>
      <w:r>
        <w:rPr>
          <w:rFonts w:ascii="David" w:hAnsi="David" w:cs="David"/>
          <w:sz w:val="24"/>
          <w:szCs w:val="24"/>
          <w:rtl/>
        </w:rPr>
        <w:t xml:space="preserve">)  הטעתה את מומחה בית המשפט בהליך המקורי וכי פסק הדין המקורי </w:t>
      </w:r>
      <w:r>
        <w:rPr>
          <w:rFonts w:ascii="David" w:hAnsi="David" w:cs="David"/>
          <w:b/>
          <w:bCs/>
          <w:sz w:val="24"/>
          <w:szCs w:val="24"/>
          <w:rtl/>
        </w:rPr>
        <w:t>"הושג במרמה ו/או הטעיה מצד הנתבעת"</w:t>
      </w:r>
      <w:r>
        <w:rPr>
          <w:rFonts w:ascii="David" w:hAnsi="David" w:cs="David"/>
          <w:sz w:val="24"/>
          <w:szCs w:val="24"/>
          <w:rtl/>
        </w:rPr>
        <w:t>. בכך עותרת התובעת לסעד שמהותו היא בקשה ל"דיון חוזר במשפט אזרחי". תביעה ובקשה שהוגשו לאחר שפסק הדין המקורי הפך לפסק דין חלוט.</w:t>
      </w:r>
    </w:p>
    <w:p w:rsidR="004739A3" w:rsidRDefault="004739A3" w:rsidP="004739A3">
      <w:pPr>
        <w:pStyle w:val="ad"/>
        <w:spacing w:line="360" w:lineRule="auto"/>
        <w:ind w:left="755"/>
        <w:jc w:val="both"/>
        <w:rPr>
          <w:rFonts w:ascii="David" w:hAnsi="David" w:cs="David"/>
          <w:sz w:val="24"/>
          <w:szCs w:val="24"/>
        </w:rPr>
      </w:pPr>
    </w:p>
    <w:p w:rsidR="004739A3" w:rsidRDefault="004739A3" w:rsidP="004739A3">
      <w:pPr>
        <w:pStyle w:val="ad"/>
        <w:numPr>
          <w:ilvl w:val="0"/>
          <w:numId w:val="2"/>
        </w:numPr>
        <w:spacing w:line="360" w:lineRule="auto"/>
        <w:jc w:val="both"/>
        <w:rPr>
          <w:rFonts w:ascii="David" w:hAnsi="David" w:cs="David"/>
          <w:sz w:val="24"/>
          <w:szCs w:val="24"/>
        </w:rPr>
      </w:pPr>
      <w:r>
        <w:rPr>
          <w:rFonts w:ascii="David" w:hAnsi="David" w:cs="David"/>
          <w:sz w:val="24"/>
          <w:szCs w:val="24"/>
          <w:rtl/>
        </w:rPr>
        <w:t>תוך כבוד רב לתובעת, הרי התביעה היא ערעור במסווה של בקשה לביטול פסק דין. התובעת מלינה על מסקנות חוות דעת שמאי בית המשפט ומכאן גם על פסק הדין. חוות דעת שעמדה לבדיקה ומבחן, הן במסגרת שאלות הבהרה ששלחה התובעת במהלך הדיון המקורי והן במסגרת חקירה נגדית שניהלה התובעת בהליך המקורי.</w:t>
      </w:r>
    </w:p>
    <w:p w:rsidR="004739A3" w:rsidRDefault="004739A3" w:rsidP="004739A3">
      <w:pPr>
        <w:pStyle w:val="ad"/>
        <w:spacing w:line="360" w:lineRule="auto"/>
        <w:ind w:left="755"/>
        <w:jc w:val="both"/>
        <w:rPr>
          <w:rFonts w:ascii="David" w:hAnsi="David" w:cs="David"/>
          <w:b/>
          <w:bCs/>
          <w:sz w:val="24"/>
          <w:szCs w:val="24"/>
          <w:u w:val="single"/>
        </w:rPr>
      </w:pPr>
    </w:p>
    <w:p w:rsidR="004739A3" w:rsidRDefault="004739A3" w:rsidP="004739A3">
      <w:pPr>
        <w:pStyle w:val="ad"/>
        <w:numPr>
          <w:ilvl w:val="1"/>
          <w:numId w:val="1"/>
        </w:numPr>
        <w:spacing w:line="360" w:lineRule="auto"/>
        <w:ind w:left="395" w:hanging="567"/>
        <w:jc w:val="both"/>
        <w:rPr>
          <w:rFonts w:ascii="David" w:hAnsi="David" w:cs="David"/>
          <w:sz w:val="24"/>
          <w:szCs w:val="24"/>
        </w:rPr>
      </w:pPr>
      <w:r>
        <w:rPr>
          <w:rFonts w:ascii="David" w:hAnsi="David" w:cs="David"/>
          <w:b/>
          <w:bCs/>
          <w:sz w:val="24"/>
          <w:szCs w:val="24"/>
          <w:u w:val="single"/>
          <w:rtl/>
        </w:rPr>
        <w:lastRenderedPageBreak/>
        <w:t>פסק הדין המקורי אותו עותרת התובעת לבטל</w:t>
      </w:r>
    </w:p>
    <w:p w:rsidR="004739A3" w:rsidRDefault="004739A3" w:rsidP="004739A3">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פסק הדין המקורי ניתן כאמור ביום 6/6/2021 ותוקן ב"תיקון טעות סופר" ביום 6/7/2021. פסק הדין חייב את התובעת כאן בתשלום הסך (קרן) של </w:t>
      </w:r>
      <w:r>
        <w:rPr>
          <w:rFonts w:ascii="David" w:hAnsi="David" w:cs="David"/>
          <w:b/>
          <w:bCs/>
          <w:sz w:val="24"/>
          <w:szCs w:val="24"/>
          <w:u w:val="single"/>
          <w:rtl/>
        </w:rPr>
        <w:t>552,330 ₪</w:t>
      </w:r>
      <w:r>
        <w:rPr>
          <w:rFonts w:ascii="David" w:hAnsi="David" w:cs="David"/>
          <w:sz w:val="24"/>
          <w:szCs w:val="24"/>
          <w:rtl/>
        </w:rPr>
        <w:t xml:space="preserve"> וכן בהוצאות משפט בסך של (קרן) </w:t>
      </w:r>
      <w:r>
        <w:rPr>
          <w:rFonts w:ascii="David" w:hAnsi="David" w:cs="David"/>
          <w:b/>
          <w:bCs/>
          <w:sz w:val="24"/>
          <w:szCs w:val="24"/>
          <w:u w:val="single"/>
          <w:rtl/>
        </w:rPr>
        <w:t>16,380 ₪</w:t>
      </w:r>
      <w:r>
        <w:rPr>
          <w:rFonts w:ascii="David" w:hAnsi="David" w:cs="David"/>
          <w:sz w:val="24"/>
          <w:szCs w:val="24"/>
          <w:rtl/>
        </w:rPr>
        <w:t xml:space="preserve"> ושכר טרחה בסך של (קרן) </w:t>
      </w:r>
      <w:r>
        <w:rPr>
          <w:rFonts w:ascii="David" w:hAnsi="David" w:cs="David"/>
          <w:b/>
          <w:bCs/>
          <w:sz w:val="24"/>
          <w:szCs w:val="24"/>
          <w:u w:val="single"/>
          <w:rtl/>
        </w:rPr>
        <w:t>12,000 ₪</w:t>
      </w:r>
      <w:r>
        <w:rPr>
          <w:rFonts w:ascii="David" w:hAnsi="David" w:cs="David"/>
          <w:sz w:val="24"/>
          <w:szCs w:val="24"/>
          <w:rtl/>
        </w:rPr>
        <w:t>.</w:t>
      </w:r>
    </w:p>
    <w:p w:rsidR="004739A3" w:rsidRDefault="004739A3" w:rsidP="004739A3">
      <w:pPr>
        <w:pStyle w:val="ad"/>
        <w:rPr>
          <w:rFonts w:ascii="David" w:hAnsi="David" w:cs="David"/>
          <w:sz w:val="24"/>
          <w:szCs w:val="24"/>
        </w:rPr>
      </w:pPr>
    </w:p>
    <w:p w:rsidR="004739A3" w:rsidRDefault="004739A3" w:rsidP="004739A3">
      <w:pPr>
        <w:pStyle w:val="ad"/>
        <w:numPr>
          <w:ilvl w:val="0"/>
          <w:numId w:val="3"/>
        </w:numPr>
        <w:spacing w:line="360" w:lineRule="auto"/>
        <w:jc w:val="both"/>
        <w:rPr>
          <w:rFonts w:ascii="David" w:hAnsi="David" w:cs="David"/>
          <w:sz w:val="24"/>
          <w:szCs w:val="24"/>
          <w:rtl/>
        </w:rPr>
      </w:pPr>
      <w:r>
        <w:rPr>
          <w:rFonts w:ascii="David" w:hAnsi="David" w:cs="David"/>
          <w:sz w:val="24"/>
          <w:szCs w:val="24"/>
          <w:rtl/>
        </w:rPr>
        <w:t xml:space="preserve">ההליך בתביעה המקורית התייחס לחוב ארנונה נטען של התובעת בסך של 1.3 מיליון ₪ בגין בית עסק שהתנהל בעיר בת ים הידוע כ"מרכז רפואי בלסיאנו". כפי שעולה מסעיף 1 לכתב התביעה כאן - התביעה המקורית התייחסה להליכי  פשיטת רגל התייחסה לחיוב התובעת כאן – </w:t>
      </w:r>
      <w:r>
        <w:rPr>
          <w:rFonts w:ascii="David" w:hAnsi="David" w:cs="David"/>
          <w:b/>
          <w:bCs/>
          <w:sz w:val="24"/>
          <w:szCs w:val="24"/>
          <w:rtl/>
        </w:rPr>
        <w:t>"זאת מאז חודש מרץ 2015 עת הסתיימו הליכי פש"ר נגדה והיא רכשה את הזכויות במרכז הרפואי"</w:t>
      </w:r>
      <w:r>
        <w:rPr>
          <w:rFonts w:ascii="David" w:hAnsi="David" w:cs="David"/>
          <w:sz w:val="24"/>
          <w:szCs w:val="24"/>
          <w:rtl/>
        </w:rPr>
        <w:t>.</w:t>
      </w:r>
    </w:p>
    <w:p w:rsidR="004739A3" w:rsidRDefault="004739A3" w:rsidP="004739A3">
      <w:pPr>
        <w:pStyle w:val="ad"/>
        <w:rPr>
          <w:rFonts w:ascii="David" w:hAnsi="David" w:cs="David"/>
          <w:sz w:val="24"/>
          <w:szCs w:val="24"/>
        </w:rPr>
      </w:pPr>
    </w:p>
    <w:p w:rsidR="004739A3" w:rsidRDefault="004739A3" w:rsidP="004739A3">
      <w:pPr>
        <w:pStyle w:val="ad"/>
        <w:numPr>
          <w:ilvl w:val="0"/>
          <w:numId w:val="3"/>
        </w:numPr>
        <w:spacing w:line="360" w:lineRule="auto"/>
        <w:jc w:val="both"/>
        <w:rPr>
          <w:rFonts w:ascii="David" w:hAnsi="David" w:cs="David"/>
          <w:sz w:val="24"/>
          <w:szCs w:val="24"/>
          <w:rtl/>
        </w:rPr>
      </w:pPr>
      <w:r>
        <w:rPr>
          <w:rFonts w:ascii="David" w:hAnsi="David" w:cs="David"/>
          <w:sz w:val="24"/>
          <w:szCs w:val="24"/>
          <w:rtl/>
        </w:rPr>
        <w:t xml:space="preserve"> פסק הדין המקורי לא התקבל בהליך בזק. ההיפך הוא הנכון. התקיימו הליכים במשך כארבע שנים במהלכם נשמעו עדויות וכן מונה  מומחה מטעם בית המשפט – רו"ח משה שטרק. התובעת כאן הגישה למומחה בית המשפט שאלות הבהרה. בהמשך אף זומן מומחה בית המשפט לדיון ונחקר על חוות דעתו על ידי התובעת כאן, באמצעות בא כוחה. לבסוף ניתן, כאמור, פסק הדין המקורי אותו מבקשת התובעת לבטל.</w:t>
      </w:r>
    </w:p>
    <w:p w:rsidR="004739A3" w:rsidRDefault="004739A3" w:rsidP="004739A3">
      <w:pPr>
        <w:pStyle w:val="ad"/>
        <w:rPr>
          <w:rFonts w:ascii="David" w:hAnsi="David" w:cs="David"/>
          <w:sz w:val="24"/>
          <w:szCs w:val="24"/>
        </w:rPr>
      </w:pPr>
    </w:p>
    <w:p w:rsidR="004739A3" w:rsidRDefault="004739A3" w:rsidP="004739A3">
      <w:pPr>
        <w:pStyle w:val="ad"/>
        <w:numPr>
          <w:ilvl w:val="0"/>
          <w:numId w:val="1"/>
        </w:numPr>
        <w:spacing w:line="360" w:lineRule="auto"/>
        <w:ind w:left="-172" w:hanging="284"/>
        <w:jc w:val="both"/>
        <w:rPr>
          <w:rFonts w:ascii="David" w:hAnsi="David" w:cs="David"/>
          <w:sz w:val="24"/>
          <w:szCs w:val="24"/>
          <w:rtl/>
        </w:rPr>
      </w:pPr>
      <w:r>
        <w:rPr>
          <w:rFonts w:ascii="David" w:hAnsi="David" w:cs="David"/>
          <w:b/>
          <w:bCs/>
          <w:sz w:val="24"/>
          <w:szCs w:val="24"/>
          <w:u w:val="single"/>
          <w:rtl/>
        </w:rPr>
        <w:t>מינוי מומחה בית המשפט בהליך המקורי וטענות התובעת כאן כנגד חוות דעתו</w:t>
      </w:r>
    </w:p>
    <w:p w:rsidR="004739A3" w:rsidRDefault="004739A3" w:rsidP="004739A3">
      <w:pPr>
        <w:pStyle w:val="ad"/>
        <w:numPr>
          <w:ilvl w:val="1"/>
          <w:numId w:val="1"/>
        </w:numPr>
        <w:spacing w:line="360" w:lineRule="auto"/>
        <w:ind w:left="395" w:hanging="567"/>
        <w:jc w:val="both"/>
        <w:rPr>
          <w:rFonts w:ascii="David" w:hAnsi="David" w:cs="David"/>
          <w:sz w:val="24"/>
          <w:szCs w:val="24"/>
        </w:rPr>
      </w:pPr>
      <w:r>
        <w:rPr>
          <w:rFonts w:ascii="David" w:hAnsi="David" w:cs="David"/>
          <w:sz w:val="24"/>
          <w:szCs w:val="24"/>
          <w:rtl/>
        </w:rPr>
        <w:t xml:space="preserve">מינוי מומחה בית המשפט בהליך המקורי נועד על מנת שיבדוק ביחס לחובות שהתיישנו במועד בו קיבלה התובעת את הנכס. </w:t>
      </w:r>
      <w:r>
        <w:rPr>
          <w:rFonts w:ascii="David" w:hAnsi="David" w:cs="David"/>
          <w:sz w:val="24"/>
          <w:szCs w:val="24"/>
          <w:u w:val="single"/>
          <w:rtl/>
        </w:rPr>
        <w:t>עוד מונה המומחה במיוחד על לבדוק תקבולים שונים מצד התובעת כאן שלטענתה לא נזקפו לטובתה.</w:t>
      </w:r>
      <w:r>
        <w:rPr>
          <w:rFonts w:ascii="David" w:hAnsi="David" w:cs="David"/>
          <w:sz w:val="24"/>
          <w:szCs w:val="24"/>
          <w:rtl/>
        </w:rPr>
        <w:t xml:space="preserve"> לענין זה ציטטה עיריית בת – ים בהליך כאן את דברי בית המשפט (הש' ע' הדר) מתוך פרוטוקול הדיון בהליך המקורי.</w:t>
      </w:r>
    </w:p>
    <w:p w:rsidR="004739A3" w:rsidRDefault="004739A3" w:rsidP="004739A3">
      <w:pPr>
        <w:pStyle w:val="ad"/>
        <w:spacing w:line="360" w:lineRule="auto"/>
        <w:ind w:left="-172"/>
        <w:jc w:val="both"/>
        <w:rPr>
          <w:rFonts w:ascii="David" w:hAnsi="David" w:cs="David"/>
          <w:sz w:val="24"/>
          <w:szCs w:val="24"/>
        </w:rPr>
      </w:pPr>
    </w:p>
    <w:p w:rsidR="004739A3" w:rsidRDefault="004739A3" w:rsidP="004739A3">
      <w:pPr>
        <w:pStyle w:val="ad"/>
        <w:numPr>
          <w:ilvl w:val="1"/>
          <w:numId w:val="1"/>
        </w:numPr>
        <w:spacing w:line="360" w:lineRule="auto"/>
        <w:ind w:left="395" w:hanging="567"/>
        <w:jc w:val="both"/>
        <w:rPr>
          <w:rFonts w:ascii="David" w:hAnsi="David" w:cs="David"/>
          <w:sz w:val="24"/>
          <w:szCs w:val="24"/>
        </w:rPr>
      </w:pPr>
      <w:r>
        <w:rPr>
          <w:rFonts w:ascii="David" w:hAnsi="David" w:cs="David"/>
          <w:sz w:val="24"/>
          <w:szCs w:val="24"/>
          <w:rtl/>
        </w:rPr>
        <w:t>לאחר שמונה מומחה בית המשפט בהליך המקורי, לאחר שנשלחו לו שאלות הבהרה ולאחר שנחקר בחקירה נגדית – ניתן כאמור פסק הדין המקורי. והינה כעת טוענת התובעת שמומחה בית המשפט אשר בדק את התשלומים שהועברו לעיריית בת ים,  לא זקף לזכותה (של התובעת) תקבולים שלדבריה שולמו. ובמילים פשוטות – התובעת טוענת כנגד חוות דעתו של מומחה בית המשפט בהליך המקורי ומכאן מבקשת לבטל את פסק הדין המקורי.</w:t>
      </w:r>
    </w:p>
    <w:p w:rsidR="004739A3" w:rsidRDefault="004739A3" w:rsidP="004739A3">
      <w:pPr>
        <w:pStyle w:val="ad"/>
        <w:spacing w:line="360" w:lineRule="auto"/>
        <w:ind w:left="395"/>
        <w:jc w:val="both"/>
        <w:rPr>
          <w:rFonts w:ascii="David" w:hAnsi="David" w:cs="David"/>
          <w:sz w:val="24"/>
          <w:szCs w:val="24"/>
        </w:rPr>
      </w:pPr>
    </w:p>
    <w:p w:rsidR="004739A3" w:rsidRDefault="004739A3" w:rsidP="004739A3">
      <w:pPr>
        <w:pStyle w:val="ad"/>
        <w:numPr>
          <w:ilvl w:val="1"/>
          <w:numId w:val="1"/>
        </w:numPr>
        <w:spacing w:line="360" w:lineRule="auto"/>
        <w:ind w:left="395" w:hanging="567"/>
        <w:jc w:val="both"/>
        <w:rPr>
          <w:rFonts w:ascii="David" w:hAnsi="David" w:cs="David"/>
          <w:sz w:val="24"/>
          <w:szCs w:val="24"/>
        </w:rPr>
      </w:pPr>
      <w:r>
        <w:rPr>
          <w:rFonts w:ascii="David" w:hAnsi="David" w:cs="David"/>
          <w:sz w:val="24"/>
          <w:szCs w:val="24"/>
          <w:rtl/>
        </w:rPr>
        <w:t xml:space="preserve">התובעת כאן טוענת </w:t>
      </w:r>
      <w:r>
        <w:rPr>
          <w:rFonts w:ascii="David" w:hAnsi="David" w:cs="David"/>
          <w:b/>
          <w:bCs/>
          <w:sz w:val="24"/>
          <w:szCs w:val="24"/>
          <w:rtl/>
        </w:rPr>
        <w:t>"כי העירייה הטעתה את מומחה בית המשפט וגם את התובעת בכך שהשמיטה תשלומים שהתובעת שילמה לעיריה בשנת 2015"</w:t>
      </w:r>
      <w:r>
        <w:rPr>
          <w:rFonts w:ascii="David" w:hAnsi="David" w:cs="David"/>
          <w:sz w:val="24"/>
          <w:szCs w:val="24"/>
          <w:rtl/>
        </w:rPr>
        <w:t>. עוד נטען, בסעיפים 8 ו-9 לכתב התביעה כך:</w:t>
      </w:r>
    </w:p>
    <w:p w:rsidR="004739A3" w:rsidRDefault="004739A3" w:rsidP="004739A3">
      <w:pPr>
        <w:pStyle w:val="ad"/>
        <w:spacing w:line="360" w:lineRule="auto"/>
        <w:ind w:left="1440"/>
        <w:jc w:val="both"/>
        <w:rPr>
          <w:rFonts w:ascii="David" w:hAnsi="David" w:cs="David"/>
          <w:b/>
          <w:bCs/>
          <w:sz w:val="24"/>
          <w:szCs w:val="24"/>
          <w:rtl/>
        </w:rPr>
      </w:pPr>
      <w:r>
        <w:rPr>
          <w:rFonts w:ascii="David" w:hAnsi="David" w:cs="David"/>
          <w:b/>
          <w:bCs/>
          <w:sz w:val="24"/>
          <w:szCs w:val="24"/>
          <w:rtl/>
        </w:rPr>
        <w:t>"העירייה נהגה במרמה ו/או בהטעיה ו/או ברשלנות כאשר הטעתה את מומחה בית המשפט ואמרה לו שהתובעת שילמה ארנונה עבור שנת 2015 סך של 60,921 ₪ בלבד, עבור שנת 2016 בסך של 118,858 ₪ בלבד ועבור שנת 2017 סך של 75,780 ₪ בלבד...</w:t>
      </w:r>
    </w:p>
    <w:p w:rsidR="004739A3" w:rsidRDefault="004739A3" w:rsidP="004739A3">
      <w:pPr>
        <w:pStyle w:val="ad"/>
        <w:spacing w:line="360" w:lineRule="auto"/>
        <w:ind w:left="1440"/>
        <w:jc w:val="both"/>
        <w:rPr>
          <w:rFonts w:ascii="David" w:hAnsi="David" w:cs="David"/>
          <w:b/>
          <w:bCs/>
          <w:sz w:val="24"/>
          <w:szCs w:val="24"/>
          <w:rtl/>
        </w:rPr>
      </w:pPr>
    </w:p>
    <w:p w:rsidR="004739A3" w:rsidRDefault="004739A3" w:rsidP="004739A3">
      <w:pPr>
        <w:pStyle w:val="ad"/>
        <w:spacing w:line="360" w:lineRule="auto"/>
        <w:ind w:left="1440"/>
        <w:jc w:val="both"/>
        <w:rPr>
          <w:rFonts w:ascii="David" w:hAnsi="David" w:cs="David"/>
          <w:b/>
          <w:bCs/>
          <w:sz w:val="24"/>
          <w:szCs w:val="24"/>
          <w:rtl/>
        </w:rPr>
      </w:pPr>
      <w:r>
        <w:rPr>
          <w:rFonts w:ascii="David" w:hAnsi="David" w:cs="David"/>
          <w:b/>
          <w:bCs/>
          <w:sz w:val="24"/>
          <w:szCs w:val="24"/>
          <w:rtl/>
        </w:rPr>
        <w:lastRenderedPageBreak/>
        <w:t>הפועל היוצא, כי העיריה העלימה מבית המשפט ומהמומחה מטעם בית המשפט סכום של 266,317 ₪ ששולם על ידי בגין התקופה שתבעה ממני בתיק בית המשפט 32888-07-17"</w:t>
      </w:r>
    </w:p>
    <w:p w:rsidR="004739A3" w:rsidRDefault="004739A3" w:rsidP="004739A3">
      <w:pPr>
        <w:pStyle w:val="ad"/>
        <w:spacing w:line="360" w:lineRule="auto"/>
        <w:ind w:left="1440"/>
        <w:jc w:val="both"/>
        <w:rPr>
          <w:rFonts w:ascii="David" w:hAnsi="David" w:cs="David"/>
          <w:b/>
          <w:bCs/>
          <w:sz w:val="24"/>
          <w:szCs w:val="24"/>
          <w:rtl/>
        </w:rPr>
      </w:pPr>
    </w:p>
    <w:p w:rsidR="004739A3" w:rsidRDefault="004739A3" w:rsidP="004739A3">
      <w:pPr>
        <w:pStyle w:val="ad"/>
        <w:spacing w:line="360" w:lineRule="auto"/>
        <w:ind w:left="395"/>
        <w:jc w:val="both"/>
        <w:rPr>
          <w:rFonts w:ascii="David" w:hAnsi="David" w:cs="David"/>
          <w:b/>
          <w:bCs/>
          <w:sz w:val="24"/>
          <w:szCs w:val="24"/>
          <w:rtl/>
        </w:rPr>
      </w:pPr>
      <w:r>
        <w:rPr>
          <w:rFonts w:ascii="David" w:hAnsi="David" w:cs="David"/>
          <w:sz w:val="24"/>
          <w:szCs w:val="24"/>
          <w:rtl/>
        </w:rPr>
        <w:t>התובעת מוסיפה וטוענת, בסעיפים 10 ו-11 לכתב התביעה, כך:</w:t>
      </w:r>
    </w:p>
    <w:p w:rsidR="004739A3" w:rsidRDefault="004739A3" w:rsidP="004739A3">
      <w:pPr>
        <w:pStyle w:val="ad"/>
        <w:spacing w:line="360" w:lineRule="auto"/>
        <w:ind w:left="1440" w:hanging="1045"/>
        <w:jc w:val="both"/>
        <w:rPr>
          <w:rFonts w:ascii="David" w:hAnsi="David" w:cs="David"/>
          <w:b/>
          <w:bCs/>
          <w:sz w:val="24"/>
          <w:szCs w:val="24"/>
          <w:rtl/>
        </w:rPr>
      </w:pPr>
      <w:r>
        <w:rPr>
          <w:rFonts w:ascii="David" w:hAnsi="David" w:cs="David"/>
          <w:b/>
          <w:bCs/>
          <w:sz w:val="24"/>
          <w:szCs w:val="24"/>
          <w:rtl/>
        </w:rPr>
        <w:tab/>
        <w:t>"כלומר התובעת לא רק שלא היתה חייבת כספים לנתבעת בגין השנים 2015-2017 כפי שהוצג בפני המומחה את הסכום של 211,515 ₪ אלא שמסתבר כי סכום זה שולם על ידי התובעת במלואו ואף כ – 50,000 ₪ מעבר לכך, זאת עוד טרם מתן פסה"ד ואף במועד חווה"ד.</w:t>
      </w:r>
    </w:p>
    <w:p w:rsidR="004739A3" w:rsidRDefault="004739A3" w:rsidP="004739A3">
      <w:pPr>
        <w:pStyle w:val="ad"/>
        <w:spacing w:line="360" w:lineRule="auto"/>
        <w:ind w:left="1440" w:hanging="1045"/>
        <w:jc w:val="both"/>
        <w:rPr>
          <w:rFonts w:ascii="David" w:hAnsi="David" w:cs="David"/>
          <w:b/>
          <w:bCs/>
          <w:sz w:val="24"/>
          <w:szCs w:val="24"/>
          <w:rtl/>
        </w:rPr>
      </w:pPr>
      <w:r>
        <w:rPr>
          <w:rFonts w:ascii="David" w:hAnsi="David" w:cs="David"/>
          <w:b/>
          <w:bCs/>
          <w:sz w:val="24"/>
          <w:szCs w:val="24"/>
          <w:rtl/>
        </w:rPr>
        <w:tab/>
      </w:r>
    </w:p>
    <w:p w:rsidR="004739A3" w:rsidRDefault="004739A3" w:rsidP="004739A3">
      <w:pPr>
        <w:pStyle w:val="ad"/>
        <w:spacing w:line="360" w:lineRule="auto"/>
        <w:ind w:left="1440" w:hanging="1045"/>
        <w:jc w:val="both"/>
        <w:rPr>
          <w:rFonts w:ascii="David" w:hAnsi="David" w:cs="David"/>
          <w:b/>
          <w:bCs/>
          <w:sz w:val="24"/>
          <w:szCs w:val="24"/>
          <w:rtl/>
        </w:rPr>
      </w:pPr>
      <w:r>
        <w:rPr>
          <w:rFonts w:ascii="David" w:hAnsi="David" w:cs="David"/>
          <w:b/>
          <w:bCs/>
          <w:sz w:val="24"/>
          <w:szCs w:val="24"/>
          <w:rtl/>
        </w:rPr>
        <w:tab/>
        <w:t>נסיים, כי פניית התובעת לקבל אישור דומה לשנים 2012 – 2014 לא זכו להתייחסות רלוונטית וסורבו. הנתבעת תידרש לנציג נתונים אלו גם בתובענה זו"</w:t>
      </w:r>
    </w:p>
    <w:p w:rsidR="004739A3" w:rsidRDefault="004739A3" w:rsidP="004739A3">
      <w:pPr>
        <w:pStyle w:val="ad"/>
        <w:spacing w:line="360" w:lineRule="auto"/>
        <w:ind w:left="395"/>
        <w:jc w:val="both"/>
        <w:rPr>
          <w:rFonts w:ascii="David" w:hAnsi="David" w:cs="David"/>
          <w:sz w:val="24"/>
          <w:szCs w:val="24"/>
          <w:rtl/>
        </w:rPr>
      </w:pPr>
    </w:p>
    <w:p w:rsidR="004739A3" w:rsidRDefault="004739A3" w:rsidP="004739A3">
      <w:pPr>
        <w:pStyle w:val="ad"/>
        <w:spacing w:line="360" w:lineRule="auto"/>
        <w:ind w:left="395"/>
        <w:jc w:val="both"/>
        <w:rPr>
          <w:rFonts w:ascii="David" w:hAnsi="David" w:cs="David"/>
          <w:sz w:val="24"/>
          <w:szCs w:val="24"/>
          <w:rtl/>
        </w:rPr>
      </w:pPr>
      <w:r>
        <w:rPr>
          <w:rFonts w:ascii="David" w:hAnsi="David" w:cs="David"/>
          <w:sz w:val="24"/>
          <w:szCs w:val="24"/>
          <w:rtl/>
        </w:rPr>
        <w:t>בגין כל אלה עותרת התובעת לביטול פסק הדין שניתן כנגדה וממילא לסגור את תיק ההוצאה לפועל שנפתח כנגדה.</w:t>
      </w:r>
    </w:p>
    <w:p w:rsidR="004739A3" w:rsidRDefault="004739A3" w:rsidP="004739A3">
      <w:pPr>
        <w:pStyle w:val="ad"/>
        <w:spacing w:line="360" w:lineRule="auto"/>
        <w:ind w:left="-172"/>
        <w:jc w:val="both"/>
        <w:rPr>
          <w:rFonts w:ascii="David" w:hAnsi="David" w:cs="David"/>
          <w:sz w:val="24"/>
          <w:szCs w:val="24"/>
          <w:rtl/>
        </w:rPr>
      </w:pPr>
    </w:p>
    <w:p w:rsidR="004739A3" w:rsidRDefault="004739A3" w:rsidP="004739A3">
      <w:pPr>
        <w:pStyle w:val="ad"/>
        <w:numPr>
          <w:ilvl w:val="0"/>
          <w:numId w:val="1"/>
        </w:numPr>
        <w:spacing w:line="360" w:lineRule="auto"/>
        <w:ind w:left="-172" w:hanging="284"/>
        <w:jc w:val="both"/>
        <w:rPr>
          <w:rFonts w:ascii="David" w:hAnsi="David" w:cs="David"/>
          <w:sz w:val="24"/>
          <w:szCs w:val="24"/>
        </w:rPr>
      </w:pPr>
      <w:r>
        <w:rPr>
          <w:rFonts w:ascii="David" w:hAnsi="David" w:cs="David"/>
          <w:b/>
          <w:bCs/>
          <w:sz w:val="24"/>
          <w:szCs w:val="24"/>
          <w:u w:val="single"/>
          <w:rtl/>
        </w:rPr>
        <w:t>סיכום עד כאן והתייחסות לשאלה בה יש להכריע</w:t>
      </w:r>
    </w:p>
    <w:p w:rsidR="004739A3" w:rsidRDefault="004739A3" w:rsidP="004739A3">
      <w:pPr>
        <w:pStyle w:val="ad"/>
        <w:spacing w:line="360" w:lineRule="auto"/>
        <w:ind w:left="-172"/>
        <w:jc w:val="both"/>
        <w:rPr>
          <w:rFonts w:ascii="David" w:hAnsi="David" w:cs="David"/>
          <w:sz w:val="24"/>
          <w:szCs w:val="24"/>
        </w:rPr>
      </w:pPr>
      <w:r>
        <w:rPr>
          <w:rFonts w:ascii="David" w:hAnsi="David" w:cs="David"/>
          <w:sz w:val="24"/>
          <w:szCs w:val="24"/>
          <w:rtl/>
        </w:rPr>
        <w:t>מכל האמור לעיל עולה התמונה הבאה:</w:t>
      </w:r>
    </w:p>
    <w:p w:rsidR="004739A3" w:rsidRDefault="004739A3" w:rsidP="004739A3">
      <w:pPr>
        <w:pStyle w:val="ad"/>
        <w:spacing w:line="360" w:lineRule="auto"/>
        <w:ind w:left="-172"/>
        <w:jc w:val="both"/>
        <w:rPr>
          <w:rFonts w:ascii="David" w:hAnsi="David" w:cs="David"/>
          <w:sz w:val="24"/>
          <w:szCs w:val="24"/>
          <w:rtl/>
        </w:rPr>
      </w:pPr>
    </w:p>
    <w:p w:rsidR="004739A3" w:rsidRDefault="004739A3" w:rsidP="004739A3">
      <w:pPr>
        <w:pStyle w:val="ad"/>
        <w:numPr>
          <w:ilvl w:val="0"/>
          <w:numId w:val="4"/>
        </w:numPr>
        <w:spacing w:line="360" w:lineRule="auto"/>
        <w:jc w:val="both"/>
        <w:rPr>
          <w:rFonts w:ascii="David" w:hAnsi="David" w:cs="David"/>
          <w:sz w:val="24"/>
          <w:szCs w:val="24"/>
          <w:rtl/>
        </w:rPr>
      </w:pPr>
      <w:r>
        <w:rPr>
          <w:rFonts w:ascii="David" w:hAnsi="David" w:cs="David"/>
          <w:sz w:val="24"/>
          <w:szCs w:val="24"/>
          <w:rtl/>
        </w:rPr>
        <w:t>התובעת עותרת לכך שבהליך כאן יתקיים דיון ביחס לפסק דין חלוט שניתן לאחר ארבע שנות התדיינות.</w:t>
      </w:r>
    </w:p>
    <w:p w:rsidR="004739A3" w:rsidRDefault="004739A3" w:rsidP="004739A3">
      <w:pPr>
        <w:pStyle w:val="ad"/>
        <w:spacing w:line="360" w:lineRule="auto"/>
        <w:ind w:left="188"/>
        <w:jc w:val="both"/>
        <w:rPr>
          <w:rFonts w:ascii="David" w:hAnsi="David" w:cs="David"/>
          <w:sz w:val="24"/>
          <w:szCs w:val="24"/>
        </w:rPr>
      </w:pPr>
    </w:p>
    <w:p w:rsidR="004739A3" w:rsidRDefault="004739A3" w:rsidP="004739A3">
      <w:pPr>
        <w:pStyle w:val="ad"/>
        <w:numPr>
          <w:ilvl w:val="0"/>
          <w:numId w:val="4"/>
        </w:numPr>
        <w:spacing w:line="360" w:lineRule="auto"/>
        <w:jc w:val="both"/>
        <w:rPr>
          <w:rFonts w:ascii="David" w:hAnsi="David" w:cs="David"/>
          <w:sz w:val="24"/>
          <w:szCs w:val="24"/>
        </w:rPr>
      </w:pPr>
      <w:r>
        <w:rPr>
          <w:rFonts w:ascii="David" w:hAnsi="David" w:cs="David"/>
          <w:sz w:val="24"/>
          <w:szCs w:val="24"/>
          <w:rtl/>
        </w:rPr>
        <w:t>התובעת עותרת לכך שבהליך כאן ייקבע שנפל פגם של "מרמה ו/או הטעיה ו/או רשלנות" בחוות דעת מומחה בית המשפט. לטענתה, המומחה לא התייחס לתקבולים שהועברו בגין החוב.</w:t>
      </w:r>
    </w:p>
    <w:p w:rsidR="004739A3" w:rsidRDefault="004739A3" w:rsidP="004739A3">
      <w:pPr>
        <w:pStyle w:val="ad"/>
        <w:rPr>
          <w:rFonts w:ascii="David" w:hAnsi="David" w:cs="David"/>
          <w:sz w:val="24"/>
          <w:szCs w:val="24"/>
        </w:rPr>
      </w:pPr>
    </w:p>
    <w:p w:rsidR="004739A3" w:rsidRDefault="004739A3" w:rsidP="004739A3">
      <w:pPr>
        <w:pStyle w:val="ad"/>
        <w:numPr>
          <w:ilvl w:val="0"/>
          <w:numId w:val="4"/>
        </w:numPr>
        <w:spacing w:line="360" w:lineRule="auto"/>
        <w:jc w:val="both"/>
        <w:rPr>
          <w:rFonts w:ascii="David" w:hAnsi="David" w:cs="David"/>
          <w:sz w:val="24"/>
          <w:szCs w:val="24"/>
          <w:rtl/>
        </w:rPr>
      </w:pPr>
      <w:r>
        <w:rPr>
          <w:rFonts w:ascii="David" w:hAnsi="David" w:cs="David"/>
          <w:b/>
          <w:bCs/>
          <w:sz w:val="24"/>
          <w:szCs w:val="24"/>
          <w:u w:val="single"/>
          <w:rtl/>
        </w:rPr>
        <w:t>השאלה בה יש להכריע היא אפוא</w:t>
      </w:r>
      <w:r>
        <w:rPr>
          <w:rFonts w:ascii="David" w:hAnsi="David" w:cs="David"/>
          <w:sz w:val="24"/>
          <w:szCs w:val="24"/>
          <w:rtl/>
        </w:rPr>
        <w:t xml:space="preserve"> -   האם יש לקיים מעין "משפט חוזר אזרחי", לדון בכל הראיות שהובאו כבר בפני בית המשפט (כב' הש' ע' הדר) במסגרת ההליך המקורי ולבטל את פסק הדין שניתן בתא 32888-07-17. </w:t>
      </w:r>
      <w:r>
        <w:rPr>
          <w:rFonts w:ascii="David" w:hAnsi="David" w:cs="David"/>
          <w:b/>
          <w:bCs/>
          <w:sz w:val="24"/>
          <w:szCs w:val="24"/>
          <w:u w:val="single"/>
          <w:rtl/>
        </w:rPr>
        <w:t>התשובה לכך היא שלילית</w:t>
      </w:r>
      <w:r>
        <w:rPr>
          <w:rFonts w:ascii="David" w:hAnsi="David" w:cs="David"/>
          <w:sz w:val="24"/>
          <w:szCs w:val="24"/>
          <w:rtl/>
        </w:rPr>
        <w:t xml:space="preserve"> - אין לקיים משפט חוזר אזרחי ואין לבטל את פסק הדין המקורי במחלוקת בין הצדדים. התשובה לכך צומחת ועולה מכתב התביעה וכתב התשובה שהגישה התובעת. על כך בחלק השני להלן של פסק הדין.</w:t>
      </w:r>
    </w:p>
    <w:p w:rsidR="004739A3" w:rsidRDefault="004739A3" w:rsidP="004739A3">
      <w:pPr>
        <w:pStyle w:val="ad"/>
        <w:rPr>
          <w:rFonts w:ascii="David" w:hAnsi="David" w:cs="David"/>
          <w:sz w:val="24"/>
          <w:szCs w:val="24"/>
        </w:rPr>
      </w:pPr>
    </w:p>
    <w:p w:rsidR="004739A3" w:rsidRDefault="004739A3" w:rsidP="004739A3">
      <w:pPr>
        <w:pStyle w:val="ad"/>
        <w:spacing w:line="360" w:lineRule="auto"/>
        <w:ind w:left="-739"/>
        <w:jc w:val="both"/>
        <w:rPr>
          <w:rFonts w:ascii="David" w:hAnsi="David" w:cs="David"/>
          <w:b/>
          <w:bCs/>
          <w:sz w:val="28"/>
          <w:szCs w:val="28"/>
          <w:u w:val="single"/>
          <w:rtl/>
        </w:rPr>
      </w:pPr>
      <w:r>
        <w:rPr>
          <w:rFonts w:ascii="David" w:hAnsi="David" w:cs="David"/>
          <w:b/>
          <w:bCs/>
          <w:sz w:val="28"/>
          <w:szCs w:val="28"/>
          <w:u w:val="single"/>
          <w:rtl/>
        </w:rPr>
        <w:t>חלק שני – דיון והכרעה</w:t>
      </w:r>
    </w:p>
    <w:p w:rsidR="009A32B6" w:rsidRPr="009A32B6" w:rsidRDefault="009A32B6" w:rsidP="009A32B6">
      <w:pPr>
        <w:pStyle w:val="ad"/>
        <w:spacing w:line="360" w:lineRule="auto"/>
        <w:ind w:left="-172"/>
        <w:jc w:val="both"/>
        <w:rPr>
          <w:rFonts w:ascii="David" w:hAnsi="David" w:cs="David"/>
          <w:sz w:val="24"/>
          <w:szCs w:val="24"/>
        </w:rPr>
      </w:pPr>
    </w:p>
    <w:p w:rsidR="004739A3" w:rsidRDefault="004739A3" w:rsidP="004739A3">
      <w:pPr>
        <w:pStyle w:val="ad"/>
        <w:numPr>
          <w:ilvl w:val="0"/>
          <w:numId w:val="1"/>
        </w:numPr>
        <w:spacing w:line="360" w:lineRule="auto"/>
        <w:ind w:left="-172" w:hanging="284"/>
        <w:jc w:val="both"/>
        <w:rPr>
          <w:rFonts w:ascii="David" w:hAnsi="David" w:cs="David"/>
          <w:sz w:val="24"/>
          <w:szCs w:val="24"/>
        </w:rPr>
      </w:pPr>
      <w:r>
        <w:rPr>
          <w:rFonts w:ascii="David" w:hAnsi="David" w:cs="David"/>
          <w:b/>
          <w:bCs/>
          <w:sz w:val="24"/>
          <w:szCs w:val="24"/>
          <w:u w:val="single"/>
          <w:rtl/>
        </w:rPr>
        <w:t>כללי</w:t>
      </w:r>
    </w:p>
    <w:p w:rsidR="004739A3" w:rsidRDefault="004739A3" w:rsidP="004739A3">
      <w:pPr>
        <w:pStyle w:val="ad"/>
        <w:spacing w:line="360" w:lineRule="auto"/>
        <w:ind w:left="-172"/>
        <w:jc w:val="both"/>
        <w:rPr>
          <w:rFonts w:ascii="David" w:hAnsi="David" w:cs="David"/>
          <w:sz w:val="24"/>
          <w:szCs w:val="24"/>
        </w:rPr>
      </w:pPr>
      <w:r>
        <w:rPr>
          <w:rFonts w:ascii="David" w:hAnsi="David" w:cs="David"/>
          <w:sz w:val="24"/>
          <w:szCs w:val="24"/>
          <w:rtl/>
        </w:rPr>
        <w:t xml:space="preserve">יש לדחות את התביעה בשל שלושה הנימוקים שיובאו להלן. נימוקים אשר די בכל אחד מהם כדי להביא לדחיית התביעה. יודגש שהתביעה נדחית תוך התייחסות לכתב התביעה ותגובת התובעת בלבד. דחיית </w:t>
      </w:r>
      <w:r>
        <w:rPr>
          <w:rFonts w:ascii="David" w:hAnsi="David" w:cs="David"/>
          <w:sz w:val="24"/>
          <w:szCs w:val="24"/>
          <w:rtl/>
        </w:rPr>
        <w:lastRenderedPageBreak/>
        <w:t>התביעה היא תוך שהקפדתי לא להתייחס לטענות עובדתיות כבדות משקל שנכללו בכתב ההגנה ובהן התייחסה הנתבעת לגופן של טענות התובעת.</w:t>
      </w:r>
    </w:p>
    <w:p w:rsidR="004739A3" w:rsidRDefault="004739A3" w:rsidP="004739A3">
      <w:pPr>
        <w:pStyle w:val="ad"/>
        <w:spacing w:line="360" w:lineRule="auto"/>
        <w:ind w:left="-172"/>
        <w:jc w:val="both"/>
        <w:rPr>
          <w:rFonts w:ascii="David" w:hAnsi="David" w:cs="David"/>
          <w:sz w:val="24"/>
          <w:szCs w:val="24"/>
        </w:rPr>
      </w:pPr>
    </w:p>
    <w:p w:rsidR="004739A3" w:rsidRDefault="004739A3" w:rsidP="004739A3">
      <w:pPr>
        <w:pStyle w:val="ad"/>
        <w:numPr>
          <w:ilvl w:val="0"/>
          <w:numId w:val="1"/>
        </w:numPr>
        <w:spacing w:line="360" w:lineRule="auto"/>
        <w:ind w:left="-172" w:hanging="284"/>
        <w:jc w:val="both"/>
        <w:rPr>
          <w:rFonts w:ascii="David" w:hAnsi="David" w:cs="David"/>
          <w:sz w:val="24"/>
          <w:szCs w:val="24"/>
        </w:rPr>
      </w:pPr>
      <w:r>
        <w:rPr>
          <w:rFonts w:ascii="David" w:hAnsi="David" w:cs="David"/>
          <w:b/>
          <w:bCs/>
          <w:sz w:val="24"/>
          <w:szCs w:val="24"/>
          <w:u w:val="single"/>
          <w:rtl/>
        </w:rPr>
        <w:t>נימוק ראשון משלושה לדחיית ההליך – שערי בית המשפט הפתוחים לכל בעל דין נסגרים לאחר סיום הדיון במחלוקת</w:t>
      </w:r>
    </w:p>
    <w:p w:rsidR="004739A3" w:rsidRDefault="004739A3" w:rsidP="004739A3">
      <w:pPr>
        <w:pStyle w:val="ad"/>
        <w:spacing w:line="360" w:lineRule="auto"/>
        <w:ind w:left="-172"/>
        <w:jc w:val="both"/>
        <w:rPr>
          <w:rFonts w:ascii="David" w:hAnsi="David" w:cs="David"/>
          <w:sz w:val="24"/>
          <w:szCs w:val="24"/>
        </w:rPr>
      </w:pPr>
    </w:p>
    <w:p w:rsidR="004739A3" w:rsidRDefault="004739A3" w:rsidP="004739A3">
      <w:pPr>
        <w:pStyle w:val="ad"/>
        <w:numPr>
          <w:ilvl w:val="1"/>
          <w:numId w:val="1"/>
        </w:numPr>
        <w:spacing w:line="360" w:lineRule="auto"/>
        <w:ind w:left="395" w:hanging="567"/>
        <w:jc w:val="both"/>
        <w:rPr>
          <w:rFonts w:ascii="David" w:hAnsi="David" w:cs="David"/>
          <w:sz w:val="24"/>
          <w:szCs w:val="24"/>
        </w:rPr>
      </w:pPr>
      <w:r>
        <w:rPr>
          <w:rFonts w:ascii="David" w:hAnsi="David" w:cs="David"/>
          <w:sz w:val="24"/>
          <w:szCs w:val="24"/>
          <w:u w:val="single"/>
          <w:rtl/>
        </w:rPr>
        <w:t>כלל סופיות הדיון</w:t>
      </w:r>
      <w:r>
        <w:rPr>
          <w:rFonts w:ascii="David" w:hAnsi="David" w:cs="David"/>
          <w:sz w:val="24"/>
          <w:szCs w:val="24"/>
          <w:rtl/>
        </w:rPr>
        <w:t xml:space="preserve"> - ראשון ועיקרי במושכלות ביסוד של ניהול הליך המשפטי הוא הכלל לפיו </w:t>
      </w:r>
      <w:r>
        <w:rPr>
          <w:rFonts w:ascii="David" w:hAnsi="David" w:cs="David"/>
          <w:b/>
          <w:bCs/>
          <w:sz w:val="24"/>
          <w:szCs w:val="24"/>
          <w:rtl/>
        </w:rPr>
        <w:t>שערי בית המשפט יהיו פתוחים</w:t>
      </w:r>
      <w:r>
        <w:rPr>
          <w:rFonts w:ascii="David" w:hAnsi="David" w:cs="David"/>
          <w:sz w:val="24"/>
          <w:szCs w:val="24"/>
          <w:rtl/>
        </w:rPr>
        <w:t xml:space="preserve"> לכל בעל דין המבקש להביא מחלוקת לבירור. אך צידו השני של אותו כלל, הוא שאותם שערי בית משפט ייסגרו עם סיום הדיון במחלוקת. צידו השני של הכלל, המורה על </w:t>
      </w:r>
      <w:r>
        <w:rPr>
          <w:rFonts w:ascii="David" w:hAnsi="David" w:cs="David"/>
          <w:b/>
          <w:bCs/>
          <w:sz w:val="24"/>
          <w:szCs w:val="24"/>
          <w:rtl/>
        </w:rPr>
        <w:t>סגירת שערי בית המשפט</w:t>
      </w:r>
      <w:r>
        <w:rPr>
          <w:rFonts w:ascii="David" w:hAnsi="David" w:cs="David"/>
          <w:sz w:val="24"/>
          <w:szCs w:val="24"/>
          <w:rtl/>
        </w:rPr>
        <w:t xml:space="preserve"> עם סיום הטיפול בהליך  מכונה – </w:t>
      </w:r>
      <w:r>
        <w:rPr>
          <w:rFonts w:ascii="David" w:hAnsi="David" w:cs="David"/>
          <w:b/>
          <w:bCs/>
          <w:sz w:val="24"/>
          <w:szCs w:val="24"/>
          <w:rtl/>
        </w:rPr>
        <w:t>"כלל סופיות הדיון"</w:t>
      </w:r>
      <w:r>
        <w:rPr>
          <w:rFonts w:ascii="David" w:hAnsi="David" w:cs="David"/>
          <w:sz w:val="24"/>
          <w:szCs w:val="24"/>
          <w:rtl/>
        </w:rPr>
        <w:t>.</w:t>
      </w:r>
    </w:p>
    <w:p w:rsidR="004739A3" w:rsidRDefault="004739A3" w:rsidP="004739A3">
      <w:pPr>
        <w:pStyle w:val="ad"/>
        <w:spacing w:line="360" w:lineRule="auto"/>
        <w:ind w:left="395"/>
        <w:jc w:val="both"/>
        <w:rPr>
          <w:rFonts w:ascii="David" w:hAnsi="David" w:cs="David"/>
          <w:sz w:val="24"/>
          <w:szCs w:val="24"/>
        </w:rPr>
      </w:pPr>
    </w:p>
    <w:p w:rsidR="004739A3" w:rsidRDefault="004739A3" w:rsidP="004739A3">
      <w:pPr>
        <w:pStyle w:val="ad"/>
        <w:numPr>
          <w:ilvl w:val="1"/>
          <w:numId w:val="1"/>
        </w:numPr>
        <w:spacing w:line="360" w:lineRule="auto"/>
        <w:ind w:left="395" w:hanging="567"/>
        <w:jc w:val="both"/>
        <w:rPr>
          <w:rFonts w:ascii="David" w:hAnsi="David" w:cs="David"/>
          <w:sz w:val="24"/>
          <w:szCs w:val="24"/>
        </w:rPr>
      </w:pPr>
      <w:r>
        <w:rPr>
          <w:rFonts w:ascii="David" w:hAnsi="David" w:cs="David"/>
          <w:sz w:val="24"/>
          <w:szCs w:val="24"/>
          <w:u w:val="single"/>
          <w:rtl/>
        </w:rPr>
        <w:t>תקנות סדר הדין האזרחי, תשע"ט – 2018 ויישומן</w:t>
      </w:r>
      <w:r>
        <w:rPr>
          <w:rFonts w:ascii="David" w:hAnsi="David" w:cs="David"/>
          <w:sz w:val="24"/>
          <w:szCs w:val="24"/>
          <w:rtl/>
        </w:rPr>
        <w:t xml:space="preserve"> - חיזוק לכלל סופיות הדיון, התקבל על ידי מחוקק המשנה במסגרת תקנות סדר הדין האזרחי, תשע"ט – 2018. סעיף 5 לתקנות הוסיף חובה לפיה יש לאזן בין אינטרס בעלי הדין לבין האינטרס הציבורי וכלשון התקנה – </w:t>
      </w:r>
      <w:r>
        <w:rPr>
          <w:rFonts w:ascii="David" w:hAnsi="David" w:cs="David"/>
          <w:b/>
          <w:bCs/>
          <w:sz w:val="24"/>
          <w:szCs w:val="24"/>
          <w:rtl/>
        </w:rPr>
        <w:t>"</w:t>
      </w:r>
      <w:r>
        <w:rPr>
          <w:rFonts w:ascii="David" w:eastAsia="Times New Roman" w:hAnsi="David" w:cs="David"/>
          <w:b/>
          <w:bCs/>
          <w:color w:val="000000"/>
          <w:sz w:val="24"/>
          <w:szCs w:val="24"/>
          <w:rtl/>
        </w:rPr>
        <w:t>בית המשפט יאזן, לפי הצורך, בין האינטרס של בעלי הדין ובין האינטרס הציבורי; לעניין זה, "אינטרס ציבורי" – נגישות הציבור למערכת בתי המשפט לרבות קיומו של דיון משפטי צודק, מהיר ויעיל, חיסכון במשאבי זמן ועלויות, מניעת הכרעות סותרות ומניעת שימוש לרעה בהליך השיפוטי"</w:t>
      </w:r>
      <w:r>
        <w:rPr>
          <w:rFonts w:ascii="Arial" w:eastAsia="Times New Roman" w:hAnsi="Arial" w:cs="Arial"/>
          <w:color w:val="000000"/>
          <w:sz w:val="21"/>
          <w:szCs w:val="21"/>
        </w:rPr>
        <w:t>.</w:t>
      </w:r>
    </w:p>
    <w:p w:rsidR="004739A3" w:rsidRDefault="004739A3" w:rsidP="004739A3">
      <w:pPr>
        <w:pStyle w:val="ad"/>
        <w:rPr>
          <w:rFonts w:ascii="David" w:hAnsi="David" w:cs="David"/>
          <w:sz w:val="24"/>
          <w:szCs w:val="24"/>
        </w:rPr>
      </w:pPr>
    </w:p>
    <w:p w:rsidR="004739A3" w:rsidRDefault="004739A3" w:rsidP="004739A3">
      <w:pPr>
        <w:pStyle w:val="ad"/>
        <w:spacing w:line="360" w:lineRule="auto"/>
        <w:ind w:left="395"/>
        <w:jc w:val="both"/>
        <w:rPr>
          <w:rFonts w:ascii="David" w:hAnsi="David" w:cs="David"/>
          <w:sz w:val="24"/>
          <w:szCs w:val="24"/>
          <w:rtl/>
        </w:rPr>
      </w:pPr>
      <w:r>
        <w:rPr>
          <w:rFonts w:ascii="David" w:hAnsi="David" w:cs="David"/>
          <w:sz w:val="24"/>
          <w:szCs w:val="24"/>
          <w:rtl/>
        </w:rPr>
        <w:t xml:space="preserve">החידוש בתקנה זו הוא שבית המשפט לא שם לנגד עיניו אך ורק את אינטרס בעלי הדין שבהליך בו הוא מכריע. בית המשפט שם לנגד עיניו גם את בעלי הדין בהליכים אחרים, וכן את אינטרס הציבור לכך שהליך יתקיים באופן </w:t>
      </w:r>
      <w:r>
        <w:rPr>
          <w:rFonts w:ascii="David" w:hAnsi="David" w:cs="David"/>
          <w:b/>
          <w:bCs/>
          <w:sz w:val="24"/>
          <w:szCs w:val="24"/>
          <w:rtl/>
        </w:rPr>
        <w:t>"צודק, מהיר, יעיל"</w:t>
      </w:r>
      <w:r>
        <w:rPr>
          <w:rFonts w:ascii="David" w:hAnsi="David" w:cs="David"/>
          <w:sz w:val="24"/>
          <w:szCs w:val="24"/>
          <w:rtl/>
        </w:rPr>
        <w:t xml:space="preserve"> ותוך </w:t>
      </w:r>
      <w:r>
        <w:rPr>
          <w:rFonts w:ascii="David" w:hAnsi="David" w:cs="David"/>
          <w:b/>
          <w:bCs/>
          <w:sz w:val="24"/>
          <w:szCs w:val="24"/>
          <w:rtl/>
        </w:rPr>
        <w:t>"חיסכון במשאבי זמן ועלויות"</w:t>
      </w:r>
      <w:r>
        <w:rPr>
          <w:rFonts w:ascii="David" w:hAnsi="David" w:cs="David"/>
          <w:sz w:val="24"/>
          <w:szCs w:val="24"/>
          <w:rtl/>
        </w:rPr>
        <w:t xml:space="preserve">. מצב בו ישוב בית המשפט לדון בהליך אשר כבר הסתיים, הוא מהלך שעל פניו גוזל ופוגע באינטרס הציבורי ובכללו – </w:t>
      </w:r>
      <w:r>
        <w:rPr>
          <w:rFonts w:ascii="David" w:hAnsi="David" w:cs="David"/>
          <w:b/>
          <w:bCs/>
          <w:sz w:val="24"/>
          <w:szCs w:val="24"/>
          <w:rtl/>
        </w:rPr>
        <w:t>"כלל הציבור הממתין לבירור עניינו בבית המשפט"</w:t>
      </w:r>
      <w:r>
        <w:rPr>
          <w:rFonts w:ascii="David" w:hAnsi="David" w:cs="David"/>
          <w:sz w:val="24"/>
          <w:szCs w:val="24"/>
          <w:rtl/>
        </w:rPr>
        <w:t>. גם בשל כך יש לדחות התביעה כבר על הסף.</w:t>
      </w:r>
    </w:p>
    <w:p w:rsidR="004739A3" w:rsidRDefault="004739A3" w:rsidP="004739A3">
      <w:pPr>
        <w:pStyle w:val="ad"/>
        <w:spacing w:line="360" w:lineRule="auto"/>
        <w:ind w:left="395"/>
        <w:jc w:val="both"/>
        <w:rPr>
          <w:rFonts w:ascii="David" w:hAnsi="David" w:cs="David"/>
          <w:sz w:val="24"/>
          <w:szCs w:val="24"/>
          <w:rtl/>
        </w:rPr>
      </w:pPr>
    </w:p>
    <w:p w:rsidR="004739A3" w:rsidRDefault="004739A3" w:rsidP="004739A3">
      <w:pPr>
        <w:pStyle w:val="ad"/>
        <w:spacing w:line="360" w:lineRule="auto"/>
        <w:ind w:left="395"/>
        <w:jc w:val="both"/>
        <w:rPr>
          <w:rtl/>
        </w:rPr>
      </w:pPr>
      <w:r>
        <w:rPr>
          <w:rFonts w:ascii="David" w:hAnsi="David" w:cs="David"/>
          <w:sz w:val="24"/>
          <w:szCs w:val="24"/>
          <w:rtl/>
        </w:rPr>
        <w:t xml:space="preserve">כאן ייאמר שבתי המשפט עשו שימוש בתקנה 5 לתקנות סדר הדין, תשע"ט – 2018, לא רק במקרים של בקשה להצגת ראיות חדשות ולניהול משפט אזרחי חוזר. בתי המשפט עשו שימוש בתקנה 5, גם במקרים "רכים" יותר בהם ביקש בעל דין להוסיף ראיות בהליך שטרם הפך לחלוט. גם במקרים מעין אלה לא התירו בתי המשפט הוספת ראיות, ומכאן גם בעניינינו אין לאפשר הוספת ראיות בדיעבד. לענין בקשה להוספת ראיות ולניהול </w:t>
      </w:r>
      <w:r>
        <w:rPr>
          <w:rFonts w:ascii="David" w:hAnsi="David" w:cs="David"/>
          <w:b/>
          <w:bCs/>
          <w:sz w:val="24"/>
          <w:szCs w:val="24"/>
          <w:rtl/>
        </w:rPr>
        <w:t>"דיון מחודש"</w:t>
      </w:r>
      <w:r>
        <w:rPr>
          <w:rFonts w:ascii="David" w:hAnsi="David" w:cs="David"/>
          <w:sz w:val="24"/>
          <w:szCs w:val="24"/>
          <w:rtl/>
        </w:rPr>
        <w:t xml:space="preserve"> ר' למשל </w:t>
      </w:r>
      <w:r>
        <w:rPr>
          <w:rFonts w:ascii="David" w:hAnsi="David" w:cs="David"/>
          <w:color w:val="000000"/>
          <w:sz w:val="24"/>
          <w:szCs w:val="24"/>
          <w:rtl/>
        </w:rPr>
        <w:t xml:space="preserve">רע"א 12393-07-21, </w:t>
      </w:r>
      <w:r>
        <w:rPr>
          <w:rFonts w:ascii="David" w:hAnsi="David" w:cs="David"/>
          <w:color w:val="000000"/>
          <w:sz w:val="24"/>
          <w:szCs w:val="24"/>
          <w:u w:val="single"/>
          <w:rtl/>
        </w:rPr>
        <w:t>מוואסי נ' עבד אלקאדר</w:t>
      </w:r>
      <w:r>
        <w:rPr>
          <w:rFonts w:ascii="David" w:hAnsi="David" w:cs="David"/>
          <w:sz w:val="24"/>
          <w:szCs w:val="24"/>
          <w:rtl/>
        </w:rPr>
        <w:t xml:space="preserve"> (מיום 8/7/2021, הנ' הש' ר' שפירא) שם נקבע כך (ההדגשות לא במקור) – </w:t>
      </w:r>
      <w:r>
        <w:rPr>
          <w:rFonts w:ascii="David" w:hAnsi="David" w:cs="David"/>
          <w:b/>
          <w:bCs/>
          <w:color w:val="000000"/>
          <w:sz w:val="24"/>
          <w:szCs w:val="24"/>
          <w:rtl/>
        </w:rPr>
        <w:t>"לא הובא גם צידוק לבקשה ש</w:t>
      </w:r>
      <w:r>
        <w:rPr>
          <w:rFonts w:ascii="David" w:hAnsi="David" w:cs="David"/>
          <w:b/>
          <w:bCs/>
          <w:color w:val="000000"/>
          <w:sz w:val="24"/>
          <w:szCs w:val="24"/>
          <w:u w:val="single"/>
          <w:rtl/>
        </w:rPr>
        <w:t>משמעה פתיחת כל ההליך לדיון מחודש</w:t>
      </w:r>
      <w:r>
        <w:rPr>
          <w:rFonts w:ascii="David" w:hAnsi="David" w:cs="David"/>
          <w:b/>
          <w:bCs/>
          <w:color w:val="000000"/>
          <w:sz w:val="24"/>
          <w:szCs w:val="24"/>
          <w:rtl/>
        </w:rPr>
        <w:t xml:space="preserve">, במובן זה שמעבר לפגיעה במשיב וזכויותיו הדיוניות והמהותיות, </w:t>
      </w:r>
      <w:r>
        <w:rPr>
          <w:rFonts w:ascii="David" w:hAnsi="David" w:cs="David"/>
          <w:b/>
          <w:bCs/>
          <w:color w:val="000000"/>
          <w:sz w:val="24"/>
          <w:szCs w:val="24"/>
          <w:u w:val="single"/>
          <w:rtl/>
        </w:rPr>
        <w:t>יוארך הדיון שלא לצורך וזאת על חשבון כלל הציבור</w:t>
      </w:r>
      <w:r>
        <w:rPr>
          <w:rFonts w:ascii="David" w:hAnsi="David" w:cs="David"/>
          <w:b/>
          <w:bCs/>
          <w:color w:val="000000"/>
          <w:sz w:val="24"/>
          <w:szCs w:val="24"/>
          <w:rtl/>
        </w:rPr>
        <w:t xml:space="preserve"> הממתין לבירור עניינו בבית המשפט. על בית המשפט החובה להביא את הדבר במסגרת שיקוליו בהתאם להוראות"</w:t>
      </w:r>
      <w:r>
        <w:rPr>
          <w:rFonts w:ascii="David" w:hAnsi="David" w:cs="David"/>
          <w:color w:val="000000"/>
          <w:sz w:val="24"/>
          <w:szCs w:val="24"/>
          <w:rtl/>
        </w:rPr>
        <w:t>. </w:t>
      </w:r>
    </w:p>
    <w:p w:rsidR="004739A3" w:rsidRDefault="004739A3" w:rsidP="004739A3">
      <w:pPr>
        <w:pStyle w:val="ad"/>
        <w:spacing w:line="360" w:lineRule="auto"/>
        <w:ind w:left="395"/>
        <w:jc w:val="both"/>
        <w:rPr>
          <w:rFonts w:ascii="David" w:hAnsi="David" w:cs="David"/>
          <w:sz w:val="24"/>
          <w:szCs w:val="24"/>
          <w:rtl/>
        </w:rPr>
      </w:pPr>
    </w:p>
    <w:p w:rsidR="004739A3" w:rsidRDefault="004739A3" w:rsidP="004739A3">
      <w:pPr>
        <w:pStyle w:val="ad"/>
        <w:numPr>
          <w:ilvl w:val="1"/>
          <w:numId w:val="1"/>
        </w:numPr>
        <w:spacing w:line="360" w:lineRule="auto"/>
        <w:ind w:left="395" w:hanging="567"/>
        <w:jc w:val="both"/>
        <w:rPr>
          <w:rFonts w:ascii="David" w:hAnsi="David" w:cs="David"/>
          <w:sz w:val="24"/>
          <w:szCs w:val="24"/>
        </w:rPr>
      </w:pPr>
      <w:r>
        <w:rPr>
          <w:rFonts w:ascii="David" w:hAnsi="David" w:cs="David"/>
          <w:sz w:val="24"/>
          <w:szCs w:val="24"/>
          <w:u w:val="single"/>
          <w:rtl/>
        </w:rPr>
        <w:lastRenderedPageBreak/>
        <w:t>השלמה מפסיקת בתי המשפט</w:t>
      </w:r>
      <w:r>
        <w:rPr>
          <w:rFonts w:ascii="David" w:hAnsi="David" w:cs="David"/>
          <w:sz w:val="24"/>
          <w:szCs w:val="24"/>
          <w:rtl/>
        </w:rPr>
        <w:t xml:space="preserve"> - להשלמה ייאמר שאף בפסקי דין אשר קבעו שניתן לשוב ולדון בהליך שכבר הסתיים, נקבע ששערי בית המשפט ייפתחו במשורה, ול'פתח שאינו רחב' ור' לענין זה </w:t>
      </w:r>
      <w:r>
        <w:rPr>
          <w:rFonts w:ascii="David" w:hAnsi="David" w:cs="David"/>
          <w:color w:val="000000"/>
          <w:sz w:val="24"/>
          <w:szCs w:val="24"/>
          <w:rtl/>
        </w:rPr>
        <w:t xml:space="preserve">ע"א 5572/20, </w:t>
      </w:r>
      <w:r>
        <w:rPr>
          <w:rFonts w:ascii="David" w:hAnsi="David" w:cs="David"/>
          <w:color w:val="000000"/>
          <w:sz w:val="24"/>
          <w:szCs w:val="24"/>
          <w:u w:val="single"/>
          <w:rtl/>
        </w:rPr>
        <w:t>תיאופילוס ג'אנופולוס פטריארך הכנסיה היוונית האורתודוכסית של ירושלים נ' ‏</w:t>
      </w:r>
      <w:r>
        <w:rPr>
          <w:rFonts w:ascii="David" w:hAnsi="David" w:cs="David"/>
          <w:color w:val="000000"/>
          <w:sz w:val="24"/>
          <w:szCs w:val="24"/>
          <w:u w:val="single"/>
        </w:rPr>
        <w:t>Berisford </w:t>
      </w:r>
      <w:r>
        <w:rPr>
          <w:rFonts w:ascii="David" w:hAnsi="David" w:cs="David" w:hint="cs"/>
          <w:color w:val="000000"/>
          <w:sz w:val="24"/>
          <w:szCs w:val="24"/>
          <w:u w:val="single"/>
          <w:cs/>
        </w:rPr>
        <w:t>‎</w:t>
      </w:r>
      <w:r>
        <w:rPr>
          <w:rFonts w:ascii="David" w:hAnsi="David" w:cs="David"/>
          <w:color w:val="000000"/>
          <w:sz w:val="24"/>
          <w:szCs w:val="24"/>
          <w:u w:val="single"/>
        </w:rPr>
        <w:t>Investments Limited</w:t>
      </w:r>
      <w:r>
        <w:rPr>
          <w:rFonts w:ascii="David" w:hAnsi="David" w:cs="David"/>
          <w:sz w:val="24"/>
          <w:szCs w:val="24"/>
          <w:rtl/>
        </w:rPr>
        <w:t xml:space="preserve"> (מיום 8/6/2022, הש' ' ברק-ארז, ד' מינץ, ש' שוחט) שם נקבע כך – </w:t>
      </w:r>
      <w:r>
        <w:rPr>
          <w:rFonts w:ascii="David" w:hAnsi="David" w:cs="David"/>
          <w:b/>
          <w:bCs/>
          <w:sz w:val="24"/>
          <w:szCs w:val="24"/>
          <w:rtl/>
        </w:rPr>
        <w:t>"</w:t>
      </w:r>
      <w:r>
        <w:rPr>
          <w:rFonts w:ascii="David" w:hAnsi="David" w:cs="David"/>
          <w:b/>
          <w:bCs/>
          <w:color w:val="000000"/>
          <w:spacing w:val="10"/>
          <w:sz w:val="24"/>
          <w:szCs w:val="24"/>
          <w:rtl/>
        </w:rPr>
        <w:t>שער הכניסה להליך כזה אינו יכול להיות רחב יתר על המידה. פתיחת השער לכך לרווחה עלולה לכרסם באופן ניכר ביציבותו ובסופיותו של ההליך המשפטי. משפט חוזר הוא חריג, וכזה הוא צריך להישא</w:t>
      </w:r>
      <w:r>
        <w:rPr>
          <w:rFonts w:ascii="David" w:hAnsi="David" w:cs="David"/>
          <w:b/>
          <w:bCs/>
          <w:sz w:val="24"/>
          <w:szCs w:val="24"/>
          <w:rtl/>
        </w:rPr>
        <w:t>ר"</w:t>
      </w:r>
      <w:r>
        <w:rPr>
          <w:rFonts w:ascii="David" w:hAnsi="David" w:cs="David"/>
          <w:sz w:val="24"/>
          <w:szCs w:val="24"/>
          <w:rtl/>
        </w:rPr>
        <w:t>.</w:t>
      </w:r>
    </w:p>
    <w:p w:rsidR="004739A3" w:rsidRDefault="004739A3" w:rsidP="004739A3">
      <w:pPr>
        <w:pStyle w:val="ad"/>
        <w:spacing w:line="360" w:lineRule="auto"/>
        <w:ind w:left="-172"/>
        <w:jc w:val="both"/>
        <w:rPr>
          <w:rFonts w:ascii="David" w:hAnsi="David" w:cs="David"/>
          <w:sz w:val="24"/>
          <w:szCs w:val="24"/>
          <w:u w:val="single"/>
          <w:rtl/>
        </w:rPr>
      </w:pPr>
    </w:p>
    <w:p w:rsidR="004739A3" w:rsidRDefault="004739A3" w:rsidP="004739A3">
      <w:pPr>
        <w:pStyle w:val="ad"/>
        <w:numPr>
          <w:ilvl w:val="0"/>
          <w:numId w:val="1"/>
        </w:numPr>
        <w:spacing w:line="360" w:lineRule="auto"/>
        <w:ind w:left="-172" w:hanging="284"/>
        <w:jc w:val="both"/>
        <w:rPr>
          <w:rFonts w:ascii="David" w:hAnsi="David" w:cs="David"/>
          <w:sz w:val="24"/>
          <w:szCs w:val="24"/>
        </w:rPr>
      </w:pPr>
      <w:r>
        <w:rPr>
          <w:rFonts w:ascii="David" w:hAnsi="David" w:cs="David"/>
          <w:b/>
          <w:bCs/>
          <w:sz w:val="24"/>
          <w:szCs w:val="24"/>
          <w:u w:val="single"/>
          <w:rtl/>
        </w:rPr>
        <w:t>נימוק שני משלושה לדחיית ההליך – הכללים לעריכת "משפט אזרחי חוזר" והתייחסות לכך שהתובעת ניהלה הליך שלם לרבות הבאת ראיותיה וחקירת המומחה – כל אלה מביאים לדחיית ההליך כאן</w:t>
      </w:r>
    </w:p>
    <w:p w:rsidR="004739A3" w:rsidRDefault="004739A3" w:rsidP="004739A3">
      <w:pPr>
        <w:pStyle w:val="ad"/>
        <w:spacing w:line="360" w:lineRule="auto"/>
        <w:ind w:left="395"/>
        <w:jc w:val="both"/>
        <w:rPr>
          <w:rFonts w:ascii="David" w:hAnsi="David" w:cs="David"/>
          <w:sz w:val="24"/>
          <w:szCs w:val="24"/>
        </w:rPr>
      </w:pPr>
    </w:p>
    <w:p w:rsidR="004739A3" w:rsidRDefault="004739A3" w:rsidP="004739A3">
      <w:pPr>
        <w:pStyle w:val="ad"/>
        <w:numPr>
          <w:ilvl w:val="1"/>
          <w:numId w:val="1"/>
        </w:numPr>
        <w:spacing w:line="360" w:lineRule="auto"/>
        <w:ind w:left="395" w:hanging="567"/>
        <w:jc w:val="both"/>
        <w:rPr>
          <w:rFonts w:ascii="David" w:hAnsi="David" w:cs="David"/>
          <w:sz w:val="24"/>
          <w:szCs w:val="24"/>
        </w:rPr>
      </w:pPr>
      <w:r>
        <w:rPr>
          <w:rFonts w:ascii="David" w:hAnsi="David" w:cs="David"/>
          <w:b/>
          <w:bCs/>
          <w:sz w:val="24"/>
          <w:szCs w:val="24"/>
          <w:u w:val="single"/>
          <w:rtl/>
        </w:rPr>
        <w:t>"אין לאפשר מועד ב", כלשונו של בית המשפט העליון – התייחסות לכך שהראיות "החדשות" הן ראיות שהיו בידי התובעת וזו אף שלחה שאלות הבהרה וחקרה את מומחה בית המשפט</w:t>
      </w:r>
    </w:p>
    <w:p w:rsidR="004739A3" w:rsidRDefault="004739A3" w:rsidP="004739A3">
      <w:pPr>
        <w:pStyle w:val="ad"/>
        <w:numPr>
          <w:ilvl w:val="0"/>
          <w:numId w:val="5"/>
        </w:numPr>
        <w:spacing w:line="360" w:lineRule="auto"/>
        <w:jc w:val="both"/>
        <w:rPr>
          <w:rFonts w:ascii="David" w:hAnsi="David" w:cs="David"/>
          <w:sz w:val="24"/>
          <w:szCs w:val="24"/>
        </w:rPr>
      </w:pPr>
      <w:r>
        <w:rPr>
          <w:rFonts w:ascii="David" w:hAnsi="David" w:cs="David"/>
          <w:sz w:val="24"/>
          <w:szCs w:val="24"/>
          <w:rtl/>
        </w:rPr>
        <w:t>התובעת טוענת שמומחה בית המשפט לא התייחס לתקבולים שונים ששולמו על ידה. תקבולים שיש בהם כדי להפחית את החוב לעיריית בת ים.</w:t>
      </w:r>
    </w:p>
    <w:p w:rsidR="004739A3" w:rsidRDefault="004739A3" w:rsidP="004739A3">
      <w:pPr>
        <w:pStyle w:val="ad"/>
        <w:spacing w:line="360" w:lineRule="auto"/>
        <w:ind w:left="755"/>
        <w:jc w:val="both"/>
        <w:rPr>
          <w:rFonts w:ascii="David" w:hAnsi="David" w:cs="David"/>
          <w:sz w:val="24"/>
          <w:szCs w:val="24"/>
        </w:rPr>
      </w:pPr>
    </w:p>
    <w:p w:rsidR="004739A3" w:rsidRDefault="004739A3" w:rsidP="004739A3">
      <w:pPr>
        <w:pStyle w:val="ad"/>
        <w:numPr>
          <w:ilvl w:val="0"/>
          <w:numId w:val="5"/>
        </w:numPr>
        <w:spacing w:line="360" w:lineRule="auto"/>
        <w:jc w:val="both"/>
        <w:rPr>
          <w:rFonts w:ascii="David" w:hAnsi="David" w:cs="David"/>
          <w:sz w:val="24"/>
          <w:szCs w:val="24"/>
        </w:rPr>
      </w:pPr>
      <w:r>
        <w:rPr>
          <w:rFonts w:ascii="David" w:hAnsi="David" w:cs="David"/>
          <w:sz w:val="24"/>
          <w:szCs w:val="24"/>
          <w:rtl/>
        </w:rPr>
        <w:t xml:space="preserve">אין ספק שראיות התובעת בדבר תקבולים ששילמה, לכאורה, הן ראיות שהיו בידיה גם בכל ארבע שנות ניהול ההליך המקורי בפני כב' הש' ע' הדר. </w:t>
      </w:r>
      <w:r>
        <w:rPr>
          <w:rFonts w:ascii="David" w:hAnsi="David" w:cs="David"/>
          <w:sz w:val="24"/>
          <w:szCs w:val="24"/>
          <w:u w:val="single"/>
          <w:rtl/>
        </w:rPr>
        <w:t>אין</w:t>
      </w:r>
      <w:r>
        <w:rPr>
          <w:rFonts w:ascii="David" w:hAnsi="David" w:cs="David"/>
          <w:sz w:val="24"/>
          <w:szCs w:val="24"/>
          <w:rtl/>
        </w:rPr>
        <w:t xml:space="preserve"> מדובר בראיה נסתרת שהתגלתה לפתע, או בראיה שהיתה בידי צד שלישי שהסתיר קיומה עד עתה. חזקה על התובעת, הטוענת כעת  ששילמה סכומי כסף שונים – שידעה היטב בעת קיומו של ההליך שאכן שילמה סכומי כסף אלה.</w:t>
      </w:r>
    </w:p>
    <w:p w:rsidR="004739A3" w:rsidRDefault="004739A3" w:rsidP="004739A3">
      <w:pPr>
        <w:pStyle w:val="ad"/>
        <w:rPr>
          <w:rFonts w:ascii="David" w:hAnsi="David" w:cs="David"/>
          <w:sz w:val="24"/>
          <w:szCs w:val="24"/>
        </w:rPr>
      </w:pPr>
    </w:p>
    <w:p w:rsidR="004739A3" w:rsidRDefault="004739A3" w:rsidP="004739A3">
      <w:pPr>
        <w:pStyle w:val="ad"/>
        <w:numPr>
          <w:ilvl w:val="0"/>
          <w:numId w:val="5"/>
        </w:numPr>
        <w:spacing w:line="360" w:lineRule="auto"/>
        <w:jc w:val="both"/>
        <w:rPr>
          <w:rFonts w:ascii="David" w:hAnsi="David" w:cs="David"/>
          <w:sz w:val="24"/>
          <w:szCs w:val="24"/>
          <w:rtl/>
        </w:rPr>
      </w:pPr>
      <w:r>
        <w:rPr>
          <w:rFonts w:ascii="David" w:hAnsi="David" w:cs="David"/>
          <w:sz w:val="24"/>
          <w:szCs w:val="24"/>
          <w:rtl/>
        </w:rPr>
        <w:t xml:space="preserve">זאת ועוד. לאחר מינוי מומחה בית המשפט, פעלה התובעת במקצועיות והגישה שאלות הבהרה ולאחר מכן אף חקרה את מומחה בית המשפט בחקירה נגדית. ניתן אמנם להבין את רצונה של התובעת לנסות ולהוכיח שהאמור בחוות דעתו של מומחה בית המשפט אינו נכון. אך לצד זאת – משהושלם ההליך ומשנשמעו טענותיה של התובעת – אין לשוב ולדון, גם לא בטענות חדשות שאולי נשתכחו ממנה בעת ניהול ההליך. לענין זה נקבע כבר כי </w:t>
      </w:r>
      <w:r>
        <w:rPr>
          <w:rFonts w:ascii="David" w:hAnsi="David" w:cs="David"/>
          <w:b/>
          <w:bCs/>
          <w:sz w:val="24"/>
          <w:szCs w:val="24"/>
          <w:rtl/>
        </w:rPr>
        <w:t>"</w:t>
      </w:r>
      <w:r>
        <w:rPr>
          <w:rFonts w:ascii="David" w:eastAsia="Times New Roman" w:hAnsi="David" w:cs="David"/>
          <w:b/>
          <w:bCs/>
          <w:color w:val="000000"/>
          <w:spacing w:val="10"/>
          <w:sz w:val="24"/>
          <w:szCs w:val="24"/>
          <w:rtl/>
        </w:rPr>
        <w:t xml:space="preserve">ביטול פסק דין בשל עילת תרמית לא נועד, איפוא, </w:t>
      </w:r>
      <w:r>
        <w:rPr>
          <w:rFonts w:ascii="David" w:eastAsia="Times New Roman" w:hAnsi="David" w:cs="David"/>
          <w:b/>
          <w:bCs/>
          <w:color w:val="000000"/>
          <w:spacing w:val="10"/>
          <w:sz w:val="24"/>
          <w:szCs w:val="24"/>
          <w:u w:val="single"/>
          <w:rtl/>
        </w:rPr>
        <w:t>לאפשר "מועד ב'"</w:t>
      </w:r>
      <w:r>
        <w:rPr>
          <w:rFonts w:ascii="David" w:eastAsia="Times New Roman" w:hAnsi="David" w:cs="David"/>
          <w:b/>
          <w:bCs/>
          <w:color w:val="000000"/>
          <w:spacing w:val="10"/>
          <w:sz w:val="24"/>
          <w:szCs w:val="24"/>
          <w:rtl/>
        </w:rPr>
        <w:t xml:space="preserve"> לבעלי דין שלא היו מרוצים מפסק הדין שניתן בעניינם, או מתן הזדמנות להעלאה מחודשת של טענות שנדחו</w:t>
      </w:r>
      <w:r>
        <w:rPr>
          <w:rFonts w:ascii="David" w:hAnsi="David" w:cs="David"/>
          <w:b/>
          <w:bCs/>
          <w:sz w:val="24"/>
          <w:szCs w:val="24"/>
          <w:rtl/>
        </w:rPr>
        <w:t>"</w:t>
      </w:r>
      <w:r>
        <w:rPr>
          <w:rFonts w:ascii="David" w:hAnsi="David" w:cs="David"/>
          <w:sz w:val="24"/>
          <w:szCs w:val="24"/>
          <w:rtl/>
        </w:rPr>
        <w:t xml:space="preserve"> – ור' </w:t>
      </w:r>
      <w:r>
        <w:rPr>
          <w:rFonts w:ascii="David" w:hAnsi="David" w:cs="David"/>
          <w:color w:val="000000"/>
          <w:sz w:val="24"/>
          <w:szCs w:val="24"/>
          <w:rtl/>
        </w:rPr>
        <w:t>ע"א 8024/17 ‏</w:t>
      </w:r>
      <w:r>
        <w:rPr>
          <w:rFonts w:ascii="David" w:hAnsi="David" w:cs="David"/>
          <w:color w:val="000000"/>
          <w:sz w:val="24"/>
          <w:szCs w:val="24"/>
          <w:u w:val="single"/>
          <w:rtl/>
        </w:rPr>
        <w:t>ב.י.מ חברה לבניה והשקעות (חיפה 1993) בע"מ נ' מדינת ישראל - רשם הקבלנים</w:t>
      </w:r>
      <w:r>
        <w:rPr>
          <w:rFonts w:ascii="David" w:hAnsi="David" w:cs="David"/>
          <w:color w:val="000000"/>
          <w:sz w:val="24"/>
          <w:szCs w:val="24"/>
          <w:rtl/>
        </w:rPr>
        <w:t>‏ (מיום 16/3/2020, המש' לנ' ח' מלצר, ע' ברון, י' אלרון – ההדגשות לא במקור)</w:t>
      </w:r>
      <w:r>
        <w:rPr>
          <w:rFonts w:ascii="David" w:eastAsia="Times New Roman" w:hAnsi="David" w:cs="David"/>
          <w:color w:val="000000"/>
          <w:spacing w:val="10"/>
          <w:sz w:val="24"/>
          <w:szCs w:val="24"/>
          <w:rtl/>
        </w:rPr>
        <w:t>.  </w:t>
      </w:r>
    </w:p>
    <w:p w:rsidR="004739A3" w:rsidRDefault="004739A3" w:rsidP="004739A3">
      <w:pPr>
        <w:pStyle w:val="ad"/>
        <w:spacing w:line="360" w:lineRule="auto"/>
        <w:ind w:left="-379"/>
        <w:jc w:val="both"/>
        <w:rPr>
          <w:rFonts w:ascii="David" w:hAnsi="David" w:cs="David"/>
          <w:sz w:val="24"/>
          <w:szCs w:val="24"/>
          <w:rtl/>
        </w:rPr>
      </w:pPr>
    </w:p>
    <w:p w:rsidR="004739A3" w:rsidRDefault="004739A3" w:rsidP="004739A3">
      <w:pPr>
        <w:pStyle w:val="ad"/>
        <w:numPr>
          <w:ilvl w:val="1"/>
          <w:numId w:val="1"/>
        </w:numPr>
        <w:spacing w:line="360" w:lineRule="auto"/>
        <w:ind w:left="395" w:hanging="567"/>
        <w:jc w:val="both"/>
        <w:rPr>
          <w:rFonts w:ascii="David" w:hAnsi="David" w:cs="David"/>
          <w:b/>
          <w:bCs/>
          <w:sz w:val="24"/>
          <w:szCs w:val="24"/>
          <w:u w:val="single"/>
          <w:rtl/>
        </w:rPr>
      </w:pPr>
      <w:r>
        <w:rPr>
          <w:rFonts w:ascii="David" w:hAnsi="David" w:cs="David"/>
          <w:b/>
          <w:bCs/>
          <w:sz w:val="24"/>
          <w:szCs w:val="24"/>
          <w:u w:val="single"/>
          <w:rtl/>
        </w:rPr>
        <w:t>פסיקת בתי המשפט וההלכות ביחס לביטול פסק דין ומשפט אזרחי חוזר</w:t>
      </w:r>
    </w:p>
    <w:p w:rsidR="004739A3" w:rsidRDefault="004739A3" w:rsidP="004739A3">
      <w:pPr>
        <w:pStyle w:val="ad"/>
        <w:numPr>
          <w:ilvl w:val="0"/>
          <w:numId w:val="6"/>
        </w:numPr>
        <w:spacing w:line="360" w:lineRule="auto"/>
        <w:jc w:val="both"/>
        <w:rPr>
          <w:rFonts w:ascii="David" w:hAnsi="David" w:cs="David"/>
          <w:sz w:val="24"/>
          <w:szCs w:val="24"/>
        </w:rPr>
      </w:pPr>
      <w:r>
        <w:rPr>
          <w:rFonts w:ascii="David" w:hAnsi="David" w:cs="David"/>
          <w:sz w:val="24"/>
          <w:szCs w:val="24"/>
          <w:rtl/>
        </w:rPr>
        <w:t xml:space="preserve"> </w:t>
      </w:r>
      <w:r>
        <w:rPr>
          <w:rFonts w:ascii="David" w:hAnsi="David" w:cs="David" w:hint="cs"/>
          <w:sz w:val="24"/>
          <w:szCs w:val="24"/>
          <w:rtl/>
        </w:rPr>
        <w:t>המחוקק הכיר באפשרות של "משפט חוזר" ואולם אך ורק בתחום הפלילי ור' לענין זה סעיף 31 ל</w:t>
      </w:r>
      <w:r>
        <w:rPr>
          <w:rFonts w:ascii="David" w:hAnsi="David" w:cs="David" w:hint="cs"/>
          <w:sz w:val="24"/>
          <w:szCs w:val="24"/>
          <w:u w:val="single"/>
          <w:rtl/>
        </w:rPr>
        <w:t>חוק בתי המשפט</w:t>
      </w:r>
      <w:r>
        <w:rPr>
          <w:rFonts w:ascii="David" w:hAnsi="David" w:cs="David" w:hint="cs"/>
          <w:sz w:val="24"/>
          <w:szCs w:val="24"/>
          <w:rtl/>
        </w:rPr>
        <w:t xml:space="preserve"> [נוסח משולב], תשמ"ד – 1984. ביחס לתחום האזרחי, הרי הליך של "משפט אזרחי חוזר" אינו הליך הקבוע בחקיקה או בחקיקת המשנה והוא פרי פסיקת בתי </w:t>
      </w:r>
      <w:r>
        <w:rPr>
          <w:rFonts w:ascii="David" w:hAnsi="David" w:cs="David" w:hint="cs"/>
          <w:sz w:val="24"/>
          <w:szCs w:val="24"/>
          <w:rtl/>
        </w:rPr>
        <w:lastRenderedPageBreak/>
        <w:t xml:space="preserve">המשפט בלבד. אכן קיימים מקרים בהם, למרות עקרון סופיות הדיון, מורה בית המשפט על קיומו של הליך משפטי חוזר ואולם מקרים אלה הם החריג, כפי שיפורט בפסקאות הבאות. </w:t>
      </w:r>
    </w:p>
    <w:p w:rsidR="004739A3" w:rsidRDefault="004739A3" w:rsidP="004739A3">
      <w:pPr>
        <w:pStyle w:val="ad"/>
        <w:spacing w:line="360" w:lineRule="auto"/>
        <w:ind w:left="755"/>
        <w:jc w:val="both"/>
        <w:rPr>
          <w:rFonts w:ascii="David" w:hAnsi="David" w:cs="David"/>
          <w:sz w:val="24"/>
          <w:szCs w:val="24"/>
        </w:rPr>
      </w:pPr>
    </w:p>
    <w:p w:rsidR="004739A3" w:rsidRDefault="004739A3" w:rsidP="004739A3">
      <w:pPr>
        <w:pStyle w:val="ad"/>
        <w:spacing w:line="360" w:lineRule="auto"/>
        <w:ind w:left="755"/>
        <w:jc w:val="both"/>
        <w:rPr>
          <w:rFonts w:ascii="David" w:hAnsi="David" w:cs="David"/>
          <w:sz w:val="24"/>
          <w:szCs w:val="24"/>
        </w:rPr>
      </w:pPr>
      <w:r>
        <w:rPr>
          <w:rFonts w:ascii="David" w:hAnsi="David" w:cs="David"/>
          <w:sz w:val="24"/>
          <w:szCs w:val="24"/>
          <w:rtl/>
        </w:rPr>
        <w:t xml:space="preserve">בעת הכרעה בשאלה האם יש לקיים משפט אזרחי חוזר קיימת חשיבות רבה ולרוב מכרעת לכך שההליך כבר נדון והסתיים. ניתן לדמות את שיקול הדעת בעת הכרעה בבקשה לקיום הליך חוזר למאזני הכרעה בהן על כל אחת מכפותיהן ניצבים אינטרסים שונים. </w:t>
      </w:r>
      <w:r>
        <w:rPr>
          <w:rFonts w:ascii="David" w:hAnsi="David" w:cs="David"/>
          <w:sz w:val="24"/>
          <w:szCs w:val="24"/>
          <w:u w:val="single"/>
          <w:rtl/>
        </w:rPr>
        <w:t>על כף אחת של מאזני ההכרעה</w:t>
      </w:r>
      <w:r>
        <w:rPr>
          <w:rFonts w:ascii="David" w:hAnsi="David" w:cs="David"/>
          <w:sz w:val="24"/>
          <w:szCs w:val="24"/>
          <w:rtl/>
        </w:rPr>
        <w:t xml:space="preserve"> עומדים שיקולי סופיות הדיון, השיקולים לפיהם אין מקום לשוב ודון בהליך שכבר הסתיים ושיקולי הצדק שהוזכרו כבר לעיל; </w:t>
      </w:r>
      <w:r>
        <w:rPr>
          <w:rFonts w:ascii="David" w:hAnsi="David" w:cs="David"/>
          <w:sz w:val="24"/>
          <w:szCs w:val="24"/>
          <w:u w:val="single"/>
          <w:rtl/>
        </w:rPr>
        <w:t>על הכף השניה של מאזני ההכרעה</w:t>
      </w:r>
      <w:r>
        <w:rPr>
          <w:rFonts w:ascii="David" w:hAnsi="David" w:cs="David"/>
          <w:sz w:val="24"/>
          <w:szCs w:val="24"/>
          <w:rtl/>
        </w:rPr>
        <w:t xml:space="preserve"> עומדים גם כן שיקולי מדק, שיקולים אשר נועדו למנוע מצב בו בעל דין אשר חלילה נהג בתרמית, ייצא מההליך המשפטי כשידו על העליונה.</w:t>
      </w:r>
    </w:p>
    <w:p w:rsidR="004739A3" w:rsidRDefault="004739A3" w:rsidP="004739A3">
      <w:pPr>
        <w:pStyle w:val="ad"/>
        <w:spacing w:line="360" w:lineRule="auto"/>
        <w:ind w:left="755"/>
        <w:jc w:val="both"/>
        <w:rPr>
          <w:rFonts w:ascii="David" w:hAnsi="David" w:cs="David"/>
          <w:sz w:val="24"/>
          <w:szCs w:val="24"/>
          <w:rtl/>
        </w:rPr>
      </w:pPr>
    </w:p>
    <w:p w:rsidR="004739A3" w:rsidRDefault="004739A3" w:rsidP="004739A3">
      <w:pPr>
        <w:pStyle w:val="ad"/>
        <w:numPr>
          <w:ilvl w:val="0"/>
          <w:numId w:val="6"/>
        </w:numPr>
        <w:spacing w:line="360" w:lineRule="auto"/>
        <w:jc w:val="both"/>
        <w:rPr>
          <w:rFonts w:ascii="David" w:hAnsi="David" w:cs="David"/>
          <w:sz w:val="24"/>
          <w:szCs w:val="24"/>
          <w:rtl/>
        </w:rPr>
      </w:pPr>
      <w:r>
        <w:rPr>
          <w:rFonts w:ascii="David" w:hAnsi="David" w:cs="David"/>
          <w:sz w:val="24"/>
          <w:szCs w:val="24"/>
          <w:rtl/>
        </w:rPr>
        <w:t xml:space="preserve">ביחס להליכים הדנים ב"משפט אזרחי חוזר" ניתן להפנות למשל אל </w:t>
      </w:r>
      <w:r>
        <w:rPr>
          <w:rFonts w:ascii="David" w:hAnsi="David" w:cs="David"/>
          <w:color w:val="000000"/>
          <w:sz w:val="24"/>
          <w:szCs w:val="24"/>
          <w:rtl/>
        </w:rPr>
        <w:t xml:space="preserve">ע"א 8171/13, </w:t>
      </w:r>
      <w:r>
        <w:rPr>
          <w:rFonts w:ascii="David" w:hAnsi="David" w:cs="David"/>
          <w:color w:val="000000"/>
          <w:sz w:val="24"/>
          <w:szCs w:val="24"/>
          <w:u w:val="single"/>
          <w:rtl/>
        </w:rPr>
        <w:t>מצדה מ.מ. בע''מ נ' פטר מגנוס</w:t>
      </w:r>
      <w:r>
        <w:rPr>
          <w:rFonts w:ascii="David" w:hAnsi="David" w:cs="David"/>
          <w:color w:val="000000"/>
          <w:sz w:val="24"/>
          <w:szCs w:val="24"/>
          <w:rtl/>
        </w:rPr>
        <w:t xml:space="preserve"> (מיום 22/7/2014, א' רובינשטיין, ח' מלצר, ד' ברק – ארז)</w:t>
      </w:r>
      <w:r>
        <w:rPr>
          <w:rFonts w:ascii="David" w:hAnsi="David" w:cs="David"/>
          <w:sz w:val="24"/>
          <w:szCs w:val="24"/>
          <w:rtl/>
        </w:rPr>
        <w:t xml:space="preserve"> שם נקבע כך (ההדגשות לא במקור) – "</w:t>
      </w:r>
      <w:r>
        <w:rPr>
          <w:rFonts w:ascii="David" w:hAnsi="David" w:cs="David"/>
          <w:b/>
          <w:bCs/>
          <w:color w:val="000000"/>
          <w:spacing w:val="10"/>
          <w:sz w:val="24"/>
          <w:szCs w:val="24"/>
          <w:rtl/>
        </w:rPr>
        <w:t>לא ראינו מקום להתערבות בפסק הדין השני כשלעצמו, וממילא למשפט חוזר לעניין פסק הדין הראשון. הטעמים העיקריים הם סופיות הדיון וממצאים עובדתיים שנקבעו בפסק הדין השני. לשם עריכת משפט חוזר בתחום האזרחי (</w:t>
      </w:r>
      <w:r>
        <w:rPr>
          <w:rFonts w:ascii="David" w:hAnsi="David" w:cs="David"/>
          <w:b/>
          <w:bCs/>
          <w:color w:val="000000"/>
          <w:spacing w:val="10"/>
          <w:sz w:val="24"/>
          <w:szCs w:val="24"/>
          <w:u w:val="single"/>
          <w:rtl/>
        </w:rPr>
        <w:t>ונחזור ונאמר כי ההליך הוא נדיר מאוד</w:t>
      </w:r>
      <w:r>
        <w:rPr>
          <w:rFonts w:ascii="David" w:hAnsi="David" w:cs="David"/>
          <w:b/>
          <w:bCs/>
          <w:color w:val="000000"/>
          <w:spacing w:val="10"/>
          <w:sz w:val="24"/>
          <w:szCs w:val="24"/>
          <w:rtl/>
        </w:rPr>
        <w:t xml:space="preserve">, כנודע, גם בתחום הפלילי בו יש לו עיגון סטטוטורי) ולפתיחה מחדש של פסק דין חלוט </w:t>
      </w:r>
      <w:r>
        <w:rPr>
          <w:rFonts w:ascii="David" w:hAnsi="David" w:cs="David"/>
          <w:b/>
          <w:bCs/>
          <w:color w:val="000000"/>
          <w:spacing w:val="10"/>
          <w:sz w:val="24"/>
          <w:szCs w:val="24"/>
          <w:u w:val="single"/>
          <w:rtl/>
        </w:rPr>
        <w:t>צריך שיחולו נסיבות "דרמטיות"</w:t>
      </w:r>
      <w:r>
        <w:rPr>
          <w:rFonts w:ascii="David" w:hAnsi="David" w:cs="David"/>
          <w:b/>
          <w:bCs/>
          <w:color w:val="000000"/>
          <w:spacing w:val="10"/>
          <w:sz w:val="24"/>
          <w:szCs w:val="24"/>
          <w:rtl/>
        </w:rPr>
        <w:t>, ובית המשפט המחוזי פירט את הדברים"</w:t>
      </w:r>
      <w:r>
        <w:rPr>
          <w:rFonts w:ascii="David" w:hAnsi="David" w:cs="David"/>
          <w:b/>
          <w:bCs/>
          <w:color w:val="000000"/>
          <w:spacing w:val="10"/>
          <w:sz w:val="24"/>
          <w:szCs w:val="24"/>
        </w:rPr>
        <w:t>.</w:t>
      </w:r>
      <w:r>
        <w:rPr>
          <w:rFonts w:ascii="David" w:hAnsi="David" w:cs="David"/>
          <w:sz w:val="24"/>
          <w:szCs w:val="24"/>
          <w:rtl/>
        </w:rPr>
        <w:t xml:space="preserve"> להרחבה ר' גם </w:t>
      </w:r>
      <w:r>
        <w:rPr>
          <w:rFonts w:ascii="David" w:hAnsi="David" w:cs="David"/>
          <w:color w:val="000000"/>
          <w:sz w:val="24"/>
          <w:szCs w:val="24"/>
          <w:rtl/>
        </w:rPr>
        <w:t xml:space="preserve">רע"א 6143/22, </w:t>
      </w:r>
      <w:r>
        <w:rPr>
          <w:rFonts w:ascii="David" w:hAnsi="David" w:cs="David"/>
          <w:color w:val="000000"/>
          <w:sz w:val="24"/>
          <w:szCs w:val="24"/>
          <w:u w:val="single"/>
          <w:rtl/>
        </w:rPr>
        <w:t>דיור ב.פ בע"מ נ' ראובן מזור</w:t>
      </w:r>
      <w:r>
        <w:rPr>
          <w:rFonts w:ascii="David" w:hAnsi="David" w:cs="David"/>
          <w:sz w:val="24"/>
          <w:szCs w:val="24"/>
          <w:rtl/>
        </w:rPr>
        <w:t xml:space="preserve"> (מיום 23/2/2023, הש' י' עמית, ד' מינץ, ג' כנפי – שטייניץ; וכן </w:t>
      </w:r>
      <w:r>
        <w:rPr>
          <w:rFonts w:ascii="David" w:hAnsi="David" w:cs="David"/>
          <w:color w:val="000000"/>
          <w:sz w:val="24"/>
          <w:szCs w:val="24"/>
          <w:rtl/>
        </w:rPr>
        <w:t xml:space="preserve">רע"א 9634/17 ,‏ </w:t>
      </w:r>
      <w:r>
        <w:rPr>
          <w:rFonts w:ascii="David" w:hAnsi="David" w:cs="David"/>
          <w:color w:val="000000"/>
          <w:sz w:val="24"/>
          <w:szCs w:val="24"/>
          <w:u w:val="single"/>
          <w:rtl/>
        </w:rPr>
        <w:t>בוטח אליהו נ' טרי וון דמיש</w:t>
      </w:r>
      <w:r>
        <w:rPr>
          <w:rFonts w:ascii="David" w:hAnsi="David" w:cs="David"/>
          <w:color w:val="000000"/>
          <w:sz w:val="24"/>
          <w:szCs w:val="24"/>
          <w:rtl/>
        </w:rPr>
        <w:t xml:space="preserve"> (מיום 31/1/2018, הש' מ' מזוז)</w:t>
      </w:r>
      <w:r>
        <w:rPr>
          <w:rFonts w:ascii="David" w:hAnsi="David" w:cs="David"/>
          <w:sz w:val="24"/>
          <w:szCs w:val="24"/>
          <w:rtl/>
        </w:rPr>
        <w:t xml:space="preserve">; </w:t>
      </w:r>
      <w:r>
        <w:rPr>
          <w:rFonts w:ascii="David" w:hAnsi="David" w:cs="David"/>
          <w:color w:val="000000"/>
          <w:sz w:val="24"/>
          <w:szCs w:val="24"/>
          <w:rtl/>
        </w:rPr>
        <w:t>תא (מחוזי חיפה) 45339-02-21‏,  </w:t>
      </w:r>
      <w:r>
        <w:rPr>
          <w:rFonts w:ascii="David" w:hAnsi="David" w:cs="David"/>
          <w:color w:val="000000"/>
          <w:sz w:val="24"/>
          <w:szCs w:val="24"/>
          <w:u w:val="single"/>
          <w:rtl/>
        </w:rPr>
        <w:t>ע'אדה ביסאן נ' מועתז שקרה</w:t>
      </w:r>
      <w:r>
        <w:rPr>
          <w:rFonts w:ascii="David" w:hAnsi="David" w:cs="David"/>
          <w:sz w:val="24"/>
          <w:szCs w:val="24"/>
          <w:rtl/>
        </w:rPr>
        <w:t xml:space="preserve"> (מיום 13/12/2021, הש' ע' ורבנר); וכן </w:t>
      </w:r>
      <w:r>
        <w:rPr>
          <w:rFonts w:ascii="David" w:hAnsi="David" w:cs="David"/>
          <w:color w:val="000000"/>
          <w:sz w:val="24"/>
          <w:szCs w:val="24"/>
          <w:rtl/>
        </w:rPr>
        <w:t xml:space="preserve">תא (מחוזי תל אביב - יפו) 38708-10-14‏,  </w:t>
      </w:r>
      <w:r>
        <w:rPr>
          <w:rFonts w:ascii="David" w:hAnsi="David" w:cs="David"/>
          <w:color w:val="000000"/>
          <w:sz w:val="24"/>
          <w:szCs w:val="24"/>
          <w:u w:val="single"/>
          <w:rtl/>
        </w:rPr>
        <w:t>יחזקאל אלישיב נ' זלר אבלגון שירותים פיננסיים בע"מ</w:t>
      </w:r>
      <w:r>
        <w:rPr>
          <w:rFonts w:ascii="David" w:hAnsi="David" w:cs="David"/>
          <w:sz w:val="24"/>
          <w:szCs w:val="24"/>
          <w:rtl/>
        </w:rPr>
        <w:t xml:space="preserve"> (מיום 16/7/2020, הש' ע' רביד).</w:t>
      </w:r>
    </w:p>
    <w:p w:rsidR="004739A3" w:rsidRDefault="004739A3" w:rsidP="004739A3">
      <w:pPr>
        <w:pStyle w:val="ad"/>
        <w:spacing w:line="360" w:lineRule="auto"/>
        <w:ind w:left="755"/>
        <w:jc w:val="both"/>
        <w:rPr>
          <w:rFonts w:ascii="David" w:hAnsi="David" w:cs="David"/>
          <w:sz w:val="24"/>
          <w:szCs w:val="24"/>
        </w:rPr>
      </w:pPr>
    </w:p>
    <w:p w:rsidR="004739A3" w:rsidRDefault="004739A3" w:rsidP="004739A3">
      <w:pPr>
        <w:pStyle w:val="ad"/>
        <w:numPr>
          <w:ilvl w:val="0"/>
          <w:numId w:val="6"/>
        </w:numPr>
        <w:spacing w:line="360" w:lineRule="auto"/>
        <w:jc w:val="both"/>
        <w:rPr>
          <w:rFonts w:ascii="David" w:hAnsi="David" w:cs="David"/>
          <w:sz w:val="24"/>
          <w:szCs w:val="24"/>
          <w:rtl/>
        </w:rPr>
      </w:pPr>
      <w:r>
        <w:rPr>
          <w:rFonts w:ascii="David" w:hAnsi="David" w:cs="David"/>
          <w:sz w:val="24"/>
          <w:szCs w:val="24"/>
          <w:u w:val="single"/>
          <w:rtl/>
        </w:rPr>
        <w:t>הילכת טורג'מן ויישום לעניינינו (התייחסות לטענת התובעת לפיה גילתה שתשלומים ששילמה לא הובאו במלואם בחוות דעת מומחה בית המשפט)</w:t>
      </w:r>
    </w:p>
    <w:p w:rsidR="004739A3" w:rsidRDefault="004739A3" w:rsidP="004739A3">
      <w:pPr>
        <w:pStyle w:val="ad"/>
        <w:numPr>
          <w:ilvl w:val="0"/>
          <w:numId w:val="2"/>
        </w:numPr>
        <w:spacing w:line="360" w:lineRule="auto"/>
        <w:ind w:left="1103"/>
        <w:jc w:val="both"/>
        <w:rPr>
          <w:rFonts w:ascii="David" w:hAnsi="David" w:cs="David"/>
          <w:sz w:val="24"/>
          <w:szCs w:val="24"/>
        </w:rPr>
      </w:pPr>
      <w:r>
        <w:rPr>
          <w:rFonts w:ascii="David" w:hAnsi="David" w:cs="David"/>
          <w:sz w:val="24"/>
          <w:szCs w:val="24"/>
          <w:rtl/>
        </w:rPr>
        <w:t xml:space="preserve">בנוסף להלכות שאוזכרו בס"ק (ב) לעיל, אפנה לפסק הדין המרכז את ההלכה בענין הליך משפטי חוזר – ע"א 5019/07, </w:t>
      </w:r>
      <w:r>
        <w:rPr>
          <w:rFonts w:ascii="David" w:hAnsi="David" w:cs="David"/>
          <w:sz w:val="24"/>
          <w:szCs w:val="24"/>
          <w:u w:val="single"/>
          <w:rtl/>
        </w:rPr>
        <w:t>משה טורג'מן נגד אחים עופר (ניהול) בע"מ</w:t>
      </w:r>
      <w:r>
        <w:rPr>
          <w:rFonts w:ascii="David" w:hAnsi="David" w:cs="David"/>
          <w:sz w:val="24"/>
          <w:szCs w:val="24"/>
          <w:rtl/>
        </w:rPr>
        <w:t xml:space="preserve"> (מיום , המש' לנ' הש' א' ריבלין, הש' ע' ארבל, ה' י' דנציגר). בפסק הדין בענין טורג'מן נקבע כי  </w:t>
      </w:r>
      <w:r>
        <w:rPr>
          <w:rFonts w:ascii="David" w:eastAsia="Times New Roman" w:hAnsi="David" w:cs="David"/>
          <w:b/>
          <w:bCs/>
          <w:color w:val="000000"/>
          <w:spacing w:val="10"/>
          <w:sz w:val="24"/>
          <w:szCs w:val="24"/>
          <w:rtl/>
        </w:rPr>
        <w:t>"לא כל טענה בעלמא כי עדות שנשמעה הינה עדות שקר או מסמך שהוגש הינו מסמך מזויף יכולה להצדיק ביטולו של פסק דין חלוט וקיום משפט חוזר בהליך. "</w:t>
      </w:r>
      <w:r>
        <w:rPr>
          <w:rFonts w:ascii="David" w:eastAsia="Times New Roman" w:hAnsi="David" w:cs="David"/>
          <w:b/>
          <w:bCs/>
          <w:color w:val="000000"/>
          <w:spacing w:val="10"/>
          <w:sz w:val="24"/>
          <w:szCs w:val="24"/>
          <w:u w:val="single"/>
          <w:rtl/>
        </w:rPr>
        <w:t>עצם העובדה שטוענים שעדות פלונית היא עדות שקר אינה מספיקה</w:t>
      </w:r>
      <w:r>
        <w:rPr>
          <w:rFonts w:ascii="David" w:eastAsia="Times New Roman" w:hAnsi="David" w:cs="David"/>
          <w:b/>
          <w:bCs/>
          <w:color w:val="000000"/>
          <w:spacing w:val="10"/>
          <w:sz w:val="24"/>
          <w:szCs w:val="24"/>
          <w:rtl/>
        </w:rPr>
        <w:t>, שאם לא כן לא היה סוף למשפטים המבוססים על ממצאים שבעובדה"</w:t>
      </w:r>
      <w:r>
        <w:rPr>
          <w:rFonts w:ascii="David" w:eastAsia="Times New Roman" w:hAnsi="David" w:cs="David"/>
          <w:color w:val="000000"/>
          <w:spacing w:val="10"/>
          <w:sz w:val="24"/>
          <w:szCs w:val="24"/>
          <w:rtl/>
        </w:rPr>
        <w:t xml:space="preserve">. הקביעה נעשתה תוך סקירת הפסיקה הקיימת וכן ציטוט מתוך </w:t>
      </w:r>
      <w:r>
        <w:rPr>
          <w:rFonts w:ascii="David" w:eastAsia="Times New Roman" w:hAnsi="David" w:cs="David"/>
          <w:b/>
          <w:bCs/>
          <w:color w:val="000000"/>
          <w:spacing w:val="10"/>
          <w:sz w:val="24"/>
          <w:szCs w:val="24"/>
          <w:rtl/>
        </w:rPr>
        <w:t> </w:t>
      </w:r>
      <w:r>
        <w:rPr>
          <w:rFonts w:ascii="David" w:hAnsi="David" w:cs="David"/>
          <w:color w:val="000000"/>
          <w:sz w:val="24"/>
          <w:szCs w:val="24"/>
          <w:rtl/>
        </w:rPr>
        <w:t>רע"א</w:t>
      </w:r>
      <w:r>
        <w:rPr>
          <w:rFonts w:ascii="David" w:hAnsi="David" w:cs="David"/>
          <w:color w:val="000000"/>
          <w:sz w:val="24"/>
          <w:szCs w:val="24"/>
        </w:rPr>
        <w:t>261/97 </w:t>
      </w:r>
      <w:r>
        <w:rPr>
          <w:rFonts w:ascii="David" w:hAnsi="David" w:cs="David"/>
          <w:color w:val="000000"/>
          <w:sz w:val="24"/>
          <w:szCs w:val="24"/>
          <w:rtl/>
        </w:rPr>
        <w:t xml:space="preserve">, </w:t>
      </w:r>
      <w:r>
        <w:rPr>
          <w:rFonts w:ascii="David" w:hAnsi="David" w:cs="David"/>
          <w:color w:val="000000"/>
          <w:sz w:val="24"/>
          <w:szCs w:val="24"/>
          <w:u w:val="single"/>
          <w:rtl/>
        </w:rPr>
        <w:t>רפי ומתי יהושוע שיווק והפצה בע"מ נ' יונה שאול בפש"ר</w:t>
      </w:r>
      <w:r>
        <w:rPr>
          <w:rFonts w:ascii="David" w:hAnsi="David" w:cs="David"/>
          <w:sz w:val="24"/>
          <w:szCs w:val="24"/>
          <w:u w:val="single"/>
          <w:rtl/>
        </w:rPr>
        <w:t xml:space="preserve"> </w:t>
      </w:r>
      <w:r>
        <w:rPr>
          <w:rFonts w:ascii="David" w:hAnsi="David" w:cs="David"/>
          <w:sz w:val="24"/>
          <w:szCs w:val="24"/>
          <w:rtl/>
        </w:rPr>
        <w:t>(מיום 14/1/1998).</w:t>
      </w:r>
    </w:p>
    <w:p w:rsidR="004739A3" w:rsidRDefault="004739A3" w:rsidP="004739A3">
      <w:pPr>
        <w:pStyle w:val="ad"/>
        <w:rPr>
          <w:rFonts w:ascii="David" w:hAnsi="David" w:cs="David"/>
          <w:sz w:val="24"/>
          <w:szCs w:val="24"/>
        </w:rPr>
      </w:pPr>
    </w:p>
    <w:p w:rsidR="004739A3" w:rsidRDefault="004739A3" w:rsidP="004739A3">
      <w:pPr>
        <w:pStyle w:val="ad"/>
        <w:numPr>
          <w:ilvl w:val="0"/>
          <w:numId w:val="2"/>
        </w:numPr>
        <w:spacing w:line="360" w:lineRule="auto"/>
        <w:ind w:left="1103"/>
        <w:jc w:val="both"/>
        <w:rPr>
          <w:rFonts w:ascii="David" w:hAnsi="David" w:cs="David"/>
          <w:sz w:val="24"/>
          <w:szCs w:val="24"/>
          <w:rtl/>
        </w:rPr>
      </w:pPr>
      <w:r>
        <w:rPr>
          <w:rFonts w:ascii="David" w:hAnsi="David" w:cs="David"/>
          <w:sz w:val="24"/>
          <w:szCs w:val="24"/>
          <w:rtl/>
        </w:rPr>
        <w:t xml:space="preserve">אין, אפוא, די בטענה המפנה לטעות, או אפילו ל"עדות שקר" שהיתה חלק מהראיות בהליך אותו מבקשים לבטל. לענין זה קבעה הילכת טורג'מן שלושה מבחנים אשר צריכים להתקיים במצטבר, על מנת שבית המשפט יבטל פסק דין ויקיים הליך אזרחי חדש. שלושת המבחנים הם – </w:t>
      </w:r>
      <w:r>
        <w:rPr>
          <w:rFonts w:ascii="David" w:hAnsi="David" w:cs="David"/>
          <w:sz w:val="24"/>
          <w:szCs w:val="24"/>
          <w:u w:val="single"/>
          <w:rtl/>
        </w:rPr>
        <w:t>מבחן ראשון</w:t>
      </w:r>
      <w:r>
        <w:rPr>
          <w:rFonts w:ascii="David" w:hAnsi="David" w:cs="David"/>
          <w:sz w:val="24"/>
          <w:szCs w:val="24"/>
          <w:rtl/>
        </w:rPr>
        <w:t xml:space="preserve">, מבחן </w:t>
      </w:r>
      <w:r>
        <w:rPr>
          <w:rFonts w:ascii="David" w:hAnsi="David" w:cs="David"/>
          <w:color w:val="000000"/>
          <w:sz w:val="24"/>
          <w:szCs w:val="24"/>
          <w:rtl/>
        </w:rPr>
        <w:t xml:space="preserve">אמינות הראיות המבססות לטעמו של המבקש את טענת המרמה; </w:t>
      </w:r>
      <w:r>
        <w:rPr>
          <w:rFonts w:ascii="David" w:hAnsi="David" w:cs="David"/>
          <w:color w:val="000000"/>
          <w:sz w:val="24"/>
          <w:szCs w:val="24"/>
          <w:u w:val="single"/>
          <w:rtl/>
        </w:rPr>
        <w:t>מבחן שני</w:t>
      </w:r>
      <w:r>
        <w:rPr>
          <w:rFonts w:ascii="David" w:hAnsi="David" w:cs="David"/>
          <w:color w:val="000000"/>
          <w:sz w:val="24"/>
          <w:szCs w:val="24"/>
          <w:rtl/>
        </w:rPr>
        <w:t xml:space="preserve">, האם עשויה טענת המרמה להביא לתוצאה שונה מזו שנקבעה בהתדיינות הראשונה; </w:t>
      </w:r>
      <w:r>
        <w:rPr>
          <w:rFonts w:ascii="David" w:hAnsi="David" w:cs="David"/>
          <w:color w:val="000000"/>
          <w:sz w:val="24"/>
          <w:szCs w:val="24"/>
          <w:u w:val="single"/>
          <w:rtl/>
        </w:rPr>
        <w:t>מבחן שלישי</w:t>
      </w:r>
      <w:r>
        <w:rPr>
          <w:rFonts w:ascii="David" w:hAnsi="David" w:cs="David"/>
          <w:color w:val="000000"/>
          <w:sz w:val="24"/>
          <w:szCs w:val="24"/>
          <w:rtl/>
        </w:rPr>
        <w:t>, האם הראיות אליהן מתייחס המבקש הליך מחודש הן ראיות חדשות שלא ניתן היה להשיגן בשקדנות סבירה</w:t>
      </w:r>
      <w:r>
        <w:rPr>
          <w:rFonts w:ascii="David" w:hAnsi="David" w:cs="David"/>
          <w:color w:val="000000"/>
          <w:sz w:val="24"/>
          <w:szCs w:val="24"/>
        </w:rPr>
        <w:t>.</w:t>
      </w:r>
    </w:p>
    <w:p w:rsidR="004739A3" w:rsidRDefault="004739A3" w:rsidP="004739A3">
      <w:pPr>
        <w:pStyle w:val="ad"/>
        <w:rPr>
          <w:rFonts w:ascii="David" w:hAnsi="David" w:cs="David"/>
          <w:sz w:val="24"/>
          <w:szCs w:val="24"/>
        </w:rPr>
      </w:pPr>
    </w:p>
    <w:p w:rsidR="004739A3" w:rsidRDefault="004739A3" w:rsidP="004739A3">
      <w:pPr>
        <w:pStyle w:val="ad"/>
        <w:numPr>
          <w:ilvl w:val="0"/>
          <w:numId w:val="2"/>
        </w:numPr>
        <w:spacing w:line="360" w:lineRule="auto"/>
        <w:ind w:left="1103"/>
        <w:jc w:val="both"/>
        <w:rPr>
          <w:rFonts w:ascii="David" w:hAnsi="David" w:cs="David"/>
          <w:sz w:val="24"/>
          <w:szCs w:val="24"/>
          <w:rtl/>
        </w:rPr>
      </w:pPr>
      <w:r>
        <w:rPr>
          <w:rFonts w:ascii="David" w:hAnsi="David" w:cs="David"/>
          <w:sz w:val="24"/>
          <w:szCs w:val="24"/>
          <w:rtl/>
        </w:rPr>
        <w:t>בעניינינו, די בכך שהמבחן השלישי בהילכת טורג'מן לא התקיים, על מנת שהתביעה כאן תידחה. המבחן השלישי הוא, כאמור, מבחן הבודק האם הראיות אליהן מתייחסת התובעת הן ראיות חדשות שלא ניתן היה להשיגן בשקידה סבירה.</w:t>
      </w:r>
    </w:p>
    <w:p w:rsidR="004739A3" w:rsidRDefault="004739A3" w:rsidP="004739A3">
      <w:pPr>
        <w:pStyle w:val="ad"/>
        <w:spacing w:line="360" w:lineRule="auto"/>
        <w:ind w:left="1103"/>
        <w:jc w:val="both"/>
        <w:rPr>
          <w:rFonts w:ascii="David" w:hAnsi="David" w:cs="David"/>
          <w:sz w:val="24"/>
          <w:szCs w:val="24"/>
        </w:rPr>
      </w:pPr>
      <w:r>
        <w:rPr>
          <w:rFonts w:ascii="David" w:hAnsi="David" w:cs="David"/>
          <w:sz w:val="24"/>
          <w:szCs w:val="24"/>
          <w:rtl/>
        </w:rPr>
        <w:t>למען ההגינות ייאמר כי כבר בהילכת טורג'מן נקבע כי יש לנקוט ב</w:t>
      </w:r>
      <w:r>
        <w:rPr>
          <w:rFonts w:ascii="David" w:hAnsi="David" w:cs="David"/>
          <w:sz w:val="24"/>
          <w:szCs w:val="24"/>
          <w:u w:val="single"/>
          <w:rtl/>
        </w:rPr>
        <w:t>פרשנות מקלה</w:t>
      </w:r>
      <w:r>
        <w:rPr>
          <w:rFonts w:ascii="David" w:hAnsi="David" w:cs="David"/>
          <w:sz w:val="24"/>
          <w:szCs w:val="24"/>
          <w:rtl/>
        </w:rPr>
        <w:t xml:space="preserve"> ביחס למבחן זה </w:t>
      </w:r>
      <w:r>
        <w:rPr>
          <w:rFonts w:ascii="David" w:hAnsi="David" w:cs="David"/>
          <w:b/>
          <w:bCs/>
          <w:sz w:val="24"/>
          <w:szCs w:val="24"/>
          <w:rtl/>
        </w:rPr>
        <w:t>"באשר למידת השקדנות הסבירה הנדרשת ממנו"</w:t>
      </w:r>
      <w:r>
        <w:rPr>
          <w:rFonts w:ascii="David" w:hAnsi="David" w:cs="David"/>
          <w:sz w:val="24"/>
          <w:szCs w:val="24"/>
          <w:rtl/>
        </w:rPr>
        <w:t xml:space="preserve"> (סעיף 20 לפסק הדין בענין טורג'מן לעיל). עם זאת, גם פרשנות מקלה ביחס לתובעת, לא תוכל לקבל טענות חדשות המבוססות על ראיות קיימות מההליך המשפטי המקורי. על כך בפסקה הבאה.</w:t>
      </w:r>
    </w:p>
    <w:p w:rsidR="004739A3" w:rsidRDefault="004739A3" w:rsidP="004739A3">
      <w:pPr>
        <w:pStyle w:val="ad"/>
        <w:spacing w:line="360" w:lineRule="auto"/>
        <w:ind w:left="1103"/>
        <w:jc w:val="both"/>
        <w:rPr>
          <w:rFonts w:ascii="David" w:hAnsi="David" w:cs="David"/>
          <w:sz w:val="24"/>
          <w:szCs w:val="24"/>
          <w:rtl/>
        </w:rPr>
      </w:pPr>
    </w:p>
    <w:p w:rsidR="004739A3" w:rsidRDefault="004739A3" w:rsidP="004739A3">
      <w:pPr>
        <w:pStyle w:val="ad"/>
        <w:numPr>
          <w:ilvl w:val="0"/>
          <w:numId w:val="2"/>
        </w:numPr>
        <w:spacing w:line="360" w:lineRule="auto"/>
        <w:ind w:left="1103"/>
        <w:jc w:val="both"/>
        <w:rPr>
          <w:rFonts w:ascii="David" w:hAnsi="David" w:cs="David"/>
          <w:sz w:val="24"/>
          <w:szCs w:val="24"/>
          <w:rtl/>
        </w:rPr>
      </w:pPr>
      <w:r>
        <w:rPr>
          <w:rFonts w:ascii="David" w:hAnsi="David" w:cs="David"/>
          <w:sz w:val="24"/>
          <w:szCs w:val="24"/>
          <w:rtl/>
        </w:rPr>
        <w:t xml:space="preserve">אין ספק שהראיות אליהן מפנה כעת התובעת היו בידיה במהלך ההליך המקורי. חוות דעת מומחה בית המשפט, בוודאי היתה בידיה בהליך המקורי. התובעת אף הגישה שאלות הבהרה והוסיפה וחקרה בחקירה נגדית את המומחה מטעם בית המשפט. </w:t>
      </w:r>
      <w:r>
        <w:rPr>
          <w:rFonts w:ascii="David" w:hAnsi="David" w:cs="David"/>
          <w:sz w:val="24"/>
          <w:szCs w:val="24"/>
          <w:u w:val="single"/>
          <w:rtl/>
        </w:rPr>
        <w:t>אין מדובר</w:t>
      </w:r>
      <w:r>
        <w:rPr>
          <w:rFonts w:ascii="David" w:hAnsi="David" w:cs="David"/>
          <w:sz w:val="24"/>
          <w:szCs w:val="24"/>
          <w:rtl/>
        </w:rPr>
        <w:t xml:space="preserve"> במסמך חדש, אלא במסמך שהיה אבן מאבני ההליך המקורי ופסק הדין המקורי. מכל אלה ברור כי אין מקום לדון בשאלה, האם התובעת השתדלה די על מנת לדעת אודות חוות דעת מומחה בית המשפט. ודוק, התובעת הכירה את חוות הדעת והתייחסה אליה.</w:t>
      </w:r>
    </w:p>
    <w:p w:rsidR="004739A3" w:rsidRDefault="004739A3" w:rsidP="004739A3">
      <w:pPr>
        <w:pStyle w:val="ad"/>
        <w:spacing w:line="360" w:lineRule="auto"/>
        <w:ind w:left="1103"/>
        <w:jc w:val="both"/>
        <w:rPr>
          <w:rFonts w:ascii="David" w:hAnsi="David" w:cs="David"/>
          <w:sz w:val="24"/>
          <w:szCs w:val="24"/>
        </w:rPr>
      </w:pPr>
    </w:p>
    <w:p w:rsidR="004739A3" w:rsidRDefault="004739A3" w:rsidP="004739A3">
      <w:pPr>
        <w:pStyle w:val="ad"/>
        <w:numPr>
          <w:ilvl w:val="0"/>
          <w:numId w:val="2"/>
        </w:numPr>
        <w:spacing w:line="360" w:lineRule="auto"/>
        <w:ind w:left="1103"/>
        <w:jc w:val="both"/>
        <w:rPr>
          <w:rFonts w:ascii="David" w:hAnsi="David" w:cs="David"/>
          <w:sz w:val="24"/>
          <w:szCs w:val="24"/>
        </w:rPr>
      </w:pPr>
      <w:r>
        <w:rPr>
          <w:rFonts w:ascii="David" w:hAnsi="David" w:cs="David"/>
          <w:sz w:val="24"/>
          <w:szCs w:val="24"/>
          <w:rtl/>
        </w:rPr>
        <w:t xml:space="preserve">גם אין לקבל טענה אפשרית לפיה התברר לתובעת רק עתה שתשלומים אותם שילמה לא היו חלק במלואם בחוות דעת מומחה בית המשפט. אין לקבל טענה לפיה בעל דין המשלם תשלומים שונים, ואשר מנהל הליך משפטי </w:t>
      </w:r>
      <w:r>
        <w:rPr>
          <w:rFonts w:ascii="David" w:hAnsi="David" w:cs="David"/>
          <w:sz w:val="24"/>
          <w:szCs w:val="24"/>
          <w:u w:val="single"/>
          <w:rtl/>
        </w:rPr>
        <w:t>בן ארבע שנים</w:t>
      </w:r>
      <w:r>
        <w:rPr>
          <w:rFonts w:ascii="David" w:hAnsi="David" w:cs="David"/>
          <w:sz w:val="24"/>
          <w:szCs w:val="24"/>
          <w:rtl/>
        </w:rPr>
        <w:t xml:space="preserve">, ביחס לתשלומים אלה ולחוב נגדי – כלל לא ידע האם התשלומים היו במלואם חלק מחוות דעת מומחה בית המשפט. </w:t>
      </w:r>
      <w:r>
        <w:rPr>
          <w:rFonts w:ascii="David" w:hAnsi="David" w:cs="David"/>
          <w:sz w:val="24"/>
          <w:szCs w:val="24"/>
          <w:u w:val="single"/>
          <w:rtl/>
        </w:rPr>
        <w:t>ושוב יודגש</w:t>
      </w:r>
      <w:r>
        <w:rPr>
          <w:rFonts w:ascii="David" w:hAnsi="David" w:cs="David"/>
          <w:sz w:val="24"/>
          <w:szCs w:val="24"/>
          <w:rtl/>
        </w:rPr>
        <w:t xml:space="preserve">, אין מדובר במידע חדש שנודע לפתי לתובעת, אלא במידע שהוא תשלומי כספים שהוציאה מכיסה היא. תשלומים שאין ספק שידעה שאכן שילמה.    </w:t>
      </w:r>
    </w:p>
    <w:p w:rsidR="004739A3" w:rsidRDefault="004739A3" w:rsidP="004739A3">
      <w:pPr>
        <w:pStyle w:val="ad"/>
        <w:spacing w:line="360" w:lineRule="auto"/>
        <w:ind w:left="-172"/>
        <w:jc w:val="both"/>
        <w:rPr>
          <w:rFonts w:ascii="David" w:hAnsi="David" w:cs="David"/>
          <w:sz w:val="24"/>
          <w:szCs w:val="24"/>
          <w:u w:val="single"/>
        </w:rPr>
      </w:pPr>
    </w:p>
    <w:p w:rsidR="004739A3" w:rsidRDefault="004739A3" w:rsidP="004739A3">
      <w:pPr>
        <w:pStyle w:val="ad"/>
        <w:numPr>
          <w:ilvl w:val="0"/>
          <w:numId w:val="1"/>
        </w:numPr>
        <w:spacing w:line="360" w:lineRule="auto"/>
        <w:ind w:left="-172" w:hanging="284"/>
        <w:jc w:val="both"/>
        <w:rPr>
          <w:rFonts w:ascii="David" w:hAnsi="David" w:cs="David"/>
          <w:sz w:val="24"/>
          <w:szCs w:val="24"/>
        </w:rPr>
      </w:pPr>
      <w:r>
        <w:rPr>
          <w:rFonts w:ascii="David" w:hAnsi="David" w:cs="David"/>
          <w:b/>
          <w:bCs/>
          <w:sz w:val="24"/>
          <w:szCs w:val="24"/>
          <w:u w:val="single"/>
          <w:rtl/>
        </w:rPr>
        <w:t>נימוק שלישי משלושה לדחיית ההליך – התביעה היא ערעור במסווה של בקשה לביטול פסק דין, גם בשל כך יש לדחות ההליך</w:t>
      </w:r>
    </w:p>
    <w:p w:rsidR="004739A3" w:rsidRDefault="004739A3" w:rsidP="004739A3">
      <w:pPr>
        <w:pStyle w:val="ad"/>
        <w:numPr>
          <w:ilvl w:val="1"/>
          <w:numId w:val="1"/>
        </w:numPr>
        <w:spacing w:line="360" w:lineRule="auto"/>
        <w:ind w:left="395" w:hanging="567"/>
        <w:jc w:val="both"/>
        <w:rPr>
          <w:rFonts w:ascii="David" w:hAnsi="David" w:cs="David"/>
          <w:sz w:val="24"/>
          <w:szCs w:val="24"/>
        </w:rPr>
      </w:pPr>
      <w:r>
        <w:rPr>
          <w:rFonts w:ascii="David" w:hAnsi="David" w:cs="David"/>
          <w:sz w:val="24"/>
          <w:szCs w:val="24"/>
          <w:rtl/>
        </w:rPr>
        <w:t>מקרים בהם אחד מבעלי הדין סבור שנפלה טעות בחוות דעת מומחה בית המשפט, אינם מקרים נדירים. גם מקרים בהם אחד מבעלי הדין מסתייג מקביעות בית המשפט אינם מקרים נדירים. הדרך לדון בהשגותיהם של בעלי דין היא דרך של ערעור המוגש על פסק הדין.</w:t>
      </w:r>
    </w:p>
    <w:p w:rsidR="004739A3" w:rsidRDefault="004739A3" w:rsidP="004739A3">
      <w:pPr>
        <w:pStyle w:val="ad"/>
        <w:spacing w:line="360" w:lineRule="auto"/>
        <w:ind w:left="395"/>
        <w:jc w:val="both"/>
        <w:rPr>
          <w:rFonts w:ascii="David" w:hAnsi="David" w:cs="David"/>
          <w:sz w:val="24"/>
          <w:szCs w:val="24"/>
        </w:rPr>
      </w:pPr>
    </w:p>
    <w:p w:rsidR="004739A3" w:rsidRDefault="004739A3" w:rsidP="004739A3">
      <w:pPr>
        <w:pStyle w:val="ad"/>
        <w:numPr>
          <w:ilvl w:val="1"/>
          <w:numId w:val="1"/>
        </w:numPr>
        <w:spacing w:line="360" w:lineRule="auto"/>
        <w:ind w:left="395" w:hanging="567"/>
        <w:jc w:val="both"/>
        <w:rPr>
          <w:rFonts w:ascii="David" w:hAnsi="David" w:cs="David"/>
          <w:sz w:val="24"/>
          <w:szCs w:val="24"/>
        </w:rPr>
      </w:pPr>
      <w:r>
        <w:rPr>
          <w:rFonts w:ascii="David" w:hAnsi="David" w:cs="David"/>
          <w:sz w:val="24"/>
          <w:szCs w:val="24"/>
          <w:rtl/>
        </w:rPr>
        <w:lastRenderedPageBreak/>
        <w:t>גם בעניינינו, אם, חלילה, חוות דעת מומחה בית המשפט לא כללה את מלוא התשלומים של התובעת  ואם בית המשפט התעלם מתשלום כזה או אחר - הרי היתה פתוחה בפני התובעת הדרך להגיש ערעור על פסק הדין. נכון הוא שערכאת הערעור אינה נוטה להתערב בהכרעות עובדתיות, ואולם עדיין – היתה פתוחה בפני התובעת האפשרות לנסות ולהציג ראיות חדשות במסגרת הערעור או למצות את זכויותיה בכל דרך אחרת.</w:t>
      </w:r>
    </w:p>
    <w:p w:rsidR="004739A3" w:rsidRDefault="004739A3" w:rsidP="004739A3">
      <w:pPr>
        <w:pStyle w:val="ad"/>
        <w:rPr>
          <w:rFonts w:ascii="David" w:hAnsi="David" w:cs="David"/>
          <w:sz w:val="24"/>
          <w:szCs w:val="24"/>
        </w:rPr>
      </w:pPr>
    </w:p>
    <w:p w:rsidR="004739A3" w:rsidRDefault="004739A3" w:rsidP="004739A3">
      <w:pPr>
        <w:pStyle w:val="ad"/>
        <w:spacing w:line="360" w:lineRule="auto"/>
        <w:ind w:left="395"/>
        <w:jc w:val="both"/>
        <w:rPr>
          <w:rFonts w:ascii="David" w:hAnsi="David" w:cs="David"/>
          <w:sz w:val="24"/>
          <w:szCs w:val="24"/>
          <w:rtl/>
        </w:rPr>
      </w:pPr>
      <w:r>
        <w:rPr>
          <w:rFonts w:ascii="David" w:hAnsi="David" w:cs="David"/>
          <w:sz w:val="24"/>
          <w:szCs w:val="24"/>
          <w:rtl/>
        </w:rPr>
        <w:t>התובעת לא עשתה כן. התובעת לא הגישה ערעור, אלא המתינה עד לאחר שנפתח כנגדה תיק הוצאה לפועל ועד אשר חלפה למעלה משנה ממועד פסק הדין המקורי (טרם תיקונו שהגדיל הסכום בו חויבה).</w:t>
      </w:r>
    </w:p>
    <w:p w:rsidR="004739A3" w:rsidRDefault="004739A3" w:rsidP="004739A3">
      <w:pPr>
        <w:pStyle w:val="ad"/>
        <w:spacing w:line="360" w:lineRule="auto"/>
        <w:ind w:left="395"/>
        <w:jc w:val="both"/>
        <w:rPr>
          <w:rFonts w:ascii="David" w:hAnsi="David" w:cs="David"/>
          <w:sz w:val="24"/>
          <w:szCs w:val="24"/>
          <w:rtl/>
        </w:rPr>
      </w:pPr>
    </w:p>
    <w:p w:rsidR="004739A3" w:rsidRDefault="004739A3" w:rsidP="004739A3">
      <w:pPr>
        <w:pStyle w:val="ad"/>
        <w:numPr>
          <w:ilvl w:val="1"/>
          <w:numId w:val="1"/>
        </w:numPr>
        <w:spacing w:line="360" w:lineRule="auto"/>
        <w:ind w:left="395" w:hanging="567"/>
        <w:jc w:val="both"/>
        <w:rPr>
          <w:rFonts w:ascii="David" w:hAnsi="David" w:cs="David"/>
          <w:sz w:val="24"/>
          <w:szCs w:val="24"/>
          <w:rtl/>
        </w:rPr>
      </w:pPr>
      <w:r>
        <w:rPr>
          <w:rFonts w:ascii="David" w:hAnsi="David" w:cs="David"/>
          <w:sz w:val="24"/>
          <w:szCs w:val="24"/>
          <w:rtl/>
        </w:rPr>
        <w:t xml:space="preserve">תוך כבוד רב לתובעת, הרי כל אשר היא עושה הוא לנסות לעטוף טענותיה בכסות של "טענות תרמית" ובכך לעקוף את העובדה שלא הוגש ערעור במועד. בפועל, אפילו אם נלך כברת דרך לטובת התובעת, הרי לכל היותר היא מבקשת לקיים פעם נוספת חקירה נגדית של מומחה בית המשפט ולהציג לו שאלות נוספות שלא נשאלו בהליך המקורי. לכך אין להסכים. </w:t>
      </w:r>
    </w:p>
    <w:p w:rsidR="004739A3" w:rsidRDefault="004739A3" w:rsidP="004739A3">
      <w:pPr>
        <w:pStyle w:val="ad"/>
        <w:spacing w:line="360" w:lineRule="auto"/>
        <w:ind w:left="-172"/>
        <w:jc w:val="both"/>
        <w:rPr>
          <w:rFonts w:ascii="David" w:hAnsi="David" w:cs="David"/>
          <w:sz w:val="24"/>
          <w:szCs w:val="24"/>
          <w:u w:val="single"/>
        </w:rPr>
      </w:pPr>
    </w:p>
    <w:p w:rsidR="004739A3" w:rsidRDefault="004739A3" w:rsidP="004739A3">
      <w:pPr>
        <w:pStyle w:val="ad"/>
        <w:numPr>
          <w:ilvl w:val="0"/>
          <w:numId w:val="1"/>
        </w:numPr>
        <w:spacing w:line="360" w:lineRule="auto"/>
        <w:ind w:left="-172" w:hanging="284"/>
        <w:jc w:val="both"/>
        <w:rPr>
          <w:rFonts w:ascii="David" w:hAnsi="David" w:cs="David"/>
          <w:sz w:val="24"/>
          <w:szCs w:val="24"/>
        </w:rPr>
      </w:pPr>
      <w:r>
        <w:rPr>
          <w:rFonts w:ascii="David" w:hAnsi="David" w:cs="David"/>
          <w:b/>
          <w:bCs/>
          <w:sz w:val="24"/>
          <w:szCs w:val="24"/>
          <w:u w:val="single"/>
          <w:rtl/>
        </w:rPr>
        <w:t>הערה לפני סיום</w:t>
      </w:r>
    </w:p>
    <w:p w:rsidR="004739A3" w:rsidRDefault="004739A3" w:rsidP="004739A3">
      <w:pPr>
        <w:pStyle w:val="ad"/>
        <w:spacing w:line="360" w:lineRule="auto"/>
        <w:ind w:left="-172"/>
        <w:jc w:val="both"/>
        <w:rPr>
          <w:rFonts w:ascii="David" w:hAnsi="David" w:cs="David"/>
          <w:sz w:val="24"/>
          <w:szCs w:val="24"/>
        </w:rPr>
      </w:pPr>
      <w:r>
        <w:rPr>
          <w:rFonts w:ascii="David" w:hAnsi="David" w:cs="David"/>
          <w:sz w:val="24"/>
          <w:szCs w:val="24"/>
          <w:rtl/>
        </w:rPr>
        <w:t xml:space="preserve">לפני סיום אציין שהנתבעת, מצידה, הציגה כבר בכתב ההגנה טענות כבדות משקל כנגד האמור בכתב התביעה. בין היתר הפנתה הנתבעת לכך שיש להבחין בין העברות רישומיות בין חשבון לחשבון לבין תשלומים בפועל. לגרסת הנתבעת – מומחה בית המשפט בהליך המקורי בדק </w:t>
      </w:r>
      <w:r>
        <w:rPr>
          <w:rFonts w:ascii="David" w:hAnsi="David" w:cs="David"/>
          <w:b/>
          <w:bCs/>
          <w:sz w:val="24"/>
          <w:szCs w:val="24"/>
          <w:rtl/>
        </w:rPr>
        <w:t>"ואכן "זיכה את התובעת בסכומים ששולמו בחשבונות בפועל ולא זיכה אותם בכפל, גם בגין סכומים שהועברו רישומית מחשבון לחשבון"</w:t>
      </w:r>
      <w:r>
        <w:rPr>
          <w:rFonts w:ascii="David" w:hAnsi="David" w:cs="David"/>
          <w:sz w:val="24"/>
          <w:szCs w:val="24"/>
          <w:rtl/>
        </w:rPr>
        <w:t xml:space="preserve">  (סעיף  15 ואילך לכתב ההגנה).</w:t>
      </w:r>
    </w:p>
    <w:p w:rsidR="004739A3" w:rsidRDefault="004739A3" w:rsidP="004739A3">
      <w:pPr>
        <w:pStyle w:val="ad"/>
        <w:spacing w:line="360" w:lineRule="auto"/>
        <w:ind w:left="-172"/>
        <w:jc w:val="both"/>
        <w:rPr>
          <w:rFonts w:ascii="David" w:hAnsi="David" w:cs="David"/>
          <w:sz w:val="24"/>
          <w:szCs w:val="24"/>
          <w:rtl/>
        </w:rPr>
      </w:pPr>
      <w:r>
        <w:rPr>
          <w:rFonts w:ascii="David" w:hAnsi="David" w:cs="David"/>
          <w:sz w:val="24"/>
          <w:szCs w:val="24"/>
          <w:rtl/>
        </w:rPr>
        <w:t>כך או כך, כפי שהובהר לעיל יש לדחות את התביעה, כבר בשל שלושה הנימוקים שהובאו לעיל. זאת אף מבלי להתייחס לטענות ההגנה.</w:t>
      </w:r>
    </w:p>
    <w:p w:rsidR="004739A3" w:rsidRDefault="004739A3" w:rsidP="004739A3">
      <w:pPr>
        <w:pStyle w:val="ad"/>
        <w:spacing w:line="360" w:lineRule="auto"/>
        <w:ind w:left="-172"/>
        <w:jc w:val="both"/>
        <w:rPr>
          <w:rFonts w:ascii="David" w:hAnsi="David" w:cs="David"/>
          <w:sz w:val="24"/>
          <w:szCs w:val="24"/>
          <w:u w:val="single"/>
          <w:rtl/>
        </w:rPr>
      </w:pPr>
    </w:p>
    <w:p w:rsidR="004739A3" w:rsidRDefault="004739A3" w:rsidP="004739A3">
      <w:pPr>
        <w:pStyle w:val="ad"/>
        <w:numPr>
          <w:ilvl w:val="0"/>
          <w:numId w:val="1"/>
        </w:numPr>
        <w:spacing w:line="360" w:lineRule="auto"/>
        <w:ind w:left="-172" w:hanging="284"/>
        <w:jc w:val="both"/>
        <w:rPr>
          <w:rFonts w:ascii="David" w:hAnsi="David" w:cs="David"/>
          <w:sz w:val="24"/>
          <w:szCs w:val="24"/>
        </w:rPr>
      </w:pPr>
      <w:r>
        <w:rPr>
          <w:rFonts w:ascii="David" w:hAnsi="David" w:cs="David"/>
          <w:b/>
          <w:bCs/>
          <w:sz w:val="24"/>
          <w:szCs w:val="24"/>
          <w:u w:val="single"/>
          <w:rtl/>
        </w:rPr>
        <w:t>סוף דבר</w:t>
      </w:r>
    </w:p>
    <w:p w:rsidR="004739A3" w:rsidRDefault="004739A3" w:rsidP="004739A3">
      <w:pPr>
        <w:pStyle w:val="ad"/>
        <w:spacing w:line="360" w:lineRule="auto"/>
        <w:ind w:left="-172"/>
        <w:jc w:val="both"/>
        <w:rPr>
          <w:rFonts w:ascii="David" w:hAnsi="David" w:cs="David"/>
          <w:sz w:val="24"/>
          <w:szCs w:val="24"/>
        </w:rPr>
      </w:pPr>
      <w:r>
        <w:rPr>
          <w:rFonts w:ascii="David" w:hAnsi="David" w:cs="David"/>
          <w:sz w:val="24"/>
          <w:szCs w:val="24"/>
          <w:rtl/>
        </w:rPr>
        <w:t xml:space="preserve">לאור כל האמור לעיל התביעה נדחית. אני מחייב את התובעת בתשלום הוצאות משפט ושכר טרחת עו"ד בסך כולל של </w:t>
      </w:r>
      <w:r>
        <w:rPr>
          <w:rFonts w:ascii="David" w:hAnsi="David" w:cs="David"/>
          <w:b/>
          <w:bCs/>
          <w:sz w:val="24"/>
          <w:szCs w:val="24"/>
          <w:u w:val="single"/>
          <w:rtl/>
        </w:rPr>
        <w:t>8,000 ₪</w:t>
      </w:r>
      <w:r>
        <w:rPr>
          <w:rFonts w:ascii="David" w:hAnsi="David" w:cs="David"/>
          <w:sz w:val="24"/>
          <w:szCs w:val="24"/>
          <w:rtl/>
        </w:rPr>
        <w:t xml:space="preserve"> בצירוף הפרשי הצמדה וריבית כחוק ממועד פסק הדין ועד למועד התשלום בפועל.</w:t>
      </w:r>
    </w:p>
    <w:p w:rsidR="00694556" w:rsidRDefault="00005C8B" w:rsidP="004739A3">
      <w:pPr>
        <w:spacing w:line="360" w:lineRule="auto"/>
        <w:ind w:left="-198"/>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 אלול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06 ספטמבר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445367">
        <w:rPr>
          <w:rFonts w:ascii="Arial" w:hAnsi="Arial"/>
          <w:noProof w:val="0"/>
          <w:rtl/>
        </w:rPr>
        <w:tab/>
      </w:r>
      <w:r w:rsidR="00445367">
        <w:rPr>
          <w:rFonts w:ascii="Arial" w:hAnsi="Arial"/>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D23CD3" w:rsidP="00445367">
      <w:pPr>
        <w:spacing w:line="360" w:lineRule="auto"/>
        <w:ind w:left="5040" w:firstLine="720"/>
      </w:pPr>
      <w:sdt>
        <w:sdtPr>
          <w:rPr>
            <w:rtl/>
          </w:rPr>
          <w:alias w:val="MergeField"/>
          <w:tag w:val="1237"/>
          <w:id w:val="-1428965585"/>
        </w:sdtPr>
        <w:sdtEndPr/>
        <w:sdtContent>
          <w:r w:rsidR="00D62049">
            <w:drawing>
              <wp:inline distT="0" distB="0" distL="0" distR="0" wp14:editId="50D07946">
                <wp:extent cx="1781175" cy="5048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781175" cy="504824"/>
                        </a:xfrm>
                        <a:prstGeom prst="rect">
                          <a:avLst/>
                        </a:prstGeom>
                      </pic:spPr>
                    </pic:pic>
                  </a:graphicData>
                </a:graphic>
              </wp:inline>
            </w:drawing>
          </w:r>
        </w:sdtContent>
      </w:sdt>
    </w:p>
    <w:p w:rsidR="00694556" w:rsidRDefault="00694556" w:rsidP="00445367">
      <w:pPr>
        <w:spacing w:line="360" w:lineRule="auto"/>
        <w:ind w:left="5040" w:firstLine="720"/>
        <w:rPr>
          <w:rFonts w:ascii="Arial" w:hAnsi="Arial"/>
          <w:noProof w:val="0"/>
          <w:rtl/>
        </w:rPr>
      </w:pPr>
    </w:p>
    <w:sectPr w:rsidR="00694556" w:rsidSect="004739A3">
      <w:headerReference w:type="even" r:id="rId10"/>
      <w:headerReference w:type="default" r:id="rId11"/>
      <w:footerReference w:type="even" r:id="rId12"/>
      <w:footerReference w:type="default" r:id="rId13"/>
      <w:headerReference w:type="first" r:id="rId14"/>
      <w:footerReference w:type="first" r:id="rId15"/>
      <w:pgSz w:w="11907" w:h="16840" w:code="9"/>
      <w:pgMar w:top="1134" w:right="1588" w:bottom="1134" w:left="1588" w:header="720"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3CD3" w:rsidRDefault="00D23CD3">
      <w:r>
        <w:separator/>
      </w:r>
    </w:p>
  </w:endnote>
  <w:endnote w:type="continuationSeparator" w:id="0">
    <w:p w:rsidR="00D23CD3" w:rsidRDefault="00D23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6B56" w:rsidRDefault="00D26B5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A62BD0" w:rsidRDefault="002352F7">
    <w:pPr>
      <w:pStyle w:val="a4"/>
      <w:jc w:val="center"/>
      <w:rPr>
        <w:rStyle w:val="ab"/>
      </w:rPr>
    </w:pPr>
    <w:r w:rsidRPr="00A62BD0">
      <w:rPr>
        <w:rStyle w:val="ab"/>
      </w:rPr>
      <w:fldChar w:fldCharType="begin"/>
    </w:r>
    <w:r w:rsidR="00005C8B" w:rsidRPr="00A62BD0">
      <w:rPr>
        <w:rStyle w:val="ab"/>
      </w:rPr>
      <w:instrText xml:space="preserve"> PAGE </w:instrText>
    </w:r>
    <w:r w:rsidRPr="00A62BD0">
      <w:rPr>
        <w:rStyle w:val="ab"/>
      </w:rPr>
      <w:fldChar w:fldCharType="separate"/>
    </w:r>
    <w:r w:rsidR="00F42618">
      <w:rPr>
        <w:rStyle w:val="ab"/>
        <w:rtl/>
      </w:rPr>
      <w:t>1</w:t>
    </w:r>
    <w:r w:rsidRPr="00A62BD0">
      <w:rPr>
        <w:rStyle w:val="ab"/>
      </w:rPr>
      <w:fldChar w:fldCharType="end"/>
    </w:r>
    <w:r w:rsidR="00005C8B" w:rsidRPr="00A62BD0">
      <w:rPr>
        <w:rStyle w:val="ab"/>
        <w:rFonts w:hint="cs"/>
        <w:rtl/>
      </w:rPr>
      <w:t xml:space="preserve"> מתוך </w:t>
    </w:r>
    <w:r w:rsidRPr="00A62BD0">
      <w:rPr>
        <w:rStyle w:val="ab"/>
      </w:rPr>
      <w:fldChar w:fldCharType="begin"/>
    </w:r>
    <w:r w:rsidR="00005C8B" w:rsidRPr="00A62BD0">
      <w:rPr>
        <w:rStyle w:val="ab"/>
      </w:rPr>
      <w:instrText xml:space="preserve"> NUMPAGES </w:instrText>
    </w:r>
    <w:r w:rsidRPr="00A62BD0">
      <w:rPr>
        <w:rStyle w:val="ab"/>
      </w:rPr>
      <w:fldChar w:fldCharType="separate"/>
    </w:r>
    <w:r w:rsidR="00F42618">
      <w:rPr>
        <w:rStyle w:val="ab"/>
        <w:rtl/>
      </w:rPr>
      <w:t>8</w:t>
    </w:r>
    <w:r w:rsidRPr="00A62BD0">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6B56" w:rsidRDefault="00D26B5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3CD3" w:rsidRDefault="00D23CD3">
      <w:r>
        <w:separator/>
      </w:r>
    </w:p>
  </w:footnote>
  <w:footnote w:type="continuationSeparator" w:id="0">
    <w:p w:rsidR="00D23CD3" w:rsidRDefault="00D23C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6B56" w:rsidRDefault="00D26B5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00BC388D" wp14:editId="4FD22DBF">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D26B56">
      <w:trPr>
        <w:trHeight w:hRule="exact" w:val="670"/>
        <w:jc w:val="center"/>
      </w:trPr>
      <w:sdt>
        <w:sdtPr>
          <w:rPr>
            <w:sz w:val="32"/>
            <w:szCs w:val="32"/>
            <w:rtl/>
          </w:rPr>
          <w:alias w:val="1174"/>
          <w:tag w:val="1174"/>
          <w:id w:val="-1775709220"/>
          <w:text/>
        </w:sdtPr>
        <w:sdtEndPr/>
        <w:sdtContent>
          <w:tc>
            <w:tcPr>
              <w:tcW w:w="8307" w:type="dxa"/>
            </w:tcPr>
            <w:p w:rsidR="00D26B56" w:rsidRDefault="00005C8B">
              <w:pPr>
                <w:pStyle w:val="a3"/>
                <w:jc w:val="center"/>
                <w:rPr>
                  <w:rFonts w:ascii="Tahoma" w:hAnsi="Tahoma"/>
                  <w:noProof w:val="0"/>
                  <w:color w:val="000080"/>
                  <w:sz w:val="32"/>
                  <w:szCs w:val="32"/>
                  <w:rtl/>
                </w:rPr>
              </w:pPr>
              <w:r w:rsidRPr="00CD0055">
                <w:rPr>
                  <w:rFonts w:ascii="Tahoma" w:hAnsi="Tahoma"/>
                  <w:b/>
                  <w:bCs/>
                  <w:noProof w:val="0"/>
                  <w:color w:val="000080"/>
                  <w:sz w:val="32"/>
                  <w:szCs w:val="32"/>
                  <w:rtl/>
                </w:rPr>
                <w:t>בית משפט השלום בתל אביב -יפו</w:t>
              </w:r>
            </w:p>
            <w:p w:rsidR="00694556" w:rsidRPr="00D26B56" w:rsidRDefault="00694556" w:rsidP="00D26B56">
              <w:pPr>
                <w:rPr>
                  <w:rtl/>
                </w:rPr>
              </w:pPr>
            </w:p>
          </w:tc>
        </w:sdtContent>
      </w:sdt>
    </w:tr>
    <w:tr w:rsidR="00694556" w:rsidRPr="00CD0055" w:rsidTr="00D26B56">
      <w:trPr>
        <w:trHeight w:val="337"/>
        <w:jc w:val="center"/>
      </w:trPr>
      <w:tc>
        <w:tcPr>
          <w:tcW w:w="8307" w:type="dxa"/>
        </w:tcPr>
        <w:p w:rsidR="00694556" w:rsidRPr="00CD0055" w:rsidRDefault="00D23CD3" w:rsidP="004C5CA7">
          <w:pPr>
            <w:rPr>
              <w:b/>
              <w:bCs/>
              <w:noProof w:val="0"/>
              <w:sz w:val="26"/>
              <w:szCs w:val="26"/>
              <w:rtl/>
            </w:rPr>
          </w:pPr>
          <w:sdt>
            <w:sdtPr>
              <w:rPr>
                <w:b/>
                <w:bCs/>
                <w:noProof w:val="0"/>
                <w:sz w:val="26"/>
                <w:szCs w:val="26"/>
                <w:rtl/>
              </w:rPr>
              <w:alias w:val="1170"/>
              <w:tag w:val="1170"/>
              <w:id w:val="299038016"/>
              <w:text w:multiLine="1"/>
            </w:sdtPr>
            <w:sdtEndPr/>
            <w:sdtContent>
              <w:r w:rsidR="00445367">
                <w:rPr>
                  <w:b/>
                  <w:bCs/>
                  <w:noProof w:val="0"/>
                  <w:sz w:val="26"/>
                  <w:szCs w:val="26"/>
                  <w:rtl/>
                </w:rPr>
                <w:t>ת"א</w:t>
              </w:r>
            </w:sdtContent>
          </w:sdt>
          <w:r w:rsidR="00005C8B" w:rsidRPr="00CD0055">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445367">
                <w:rPr>
                  <w:b/>
                  <w:bCs/>
                  <w:noProof w:val="0"/>
                  <w:sz w:val="26"/>
                  <w:szCs w:val="26"/>
                  <w:rtl/>
                </w:rPr>
                <w:t>66854-08-22</w:t>
              </w:r>
            </w:sdtContent>
          </w:sdt>
          <w:bookmarkEnd w:id="0"/>
          <w:r w:rsidR="00005C8B" w:rsidRPr="00CD0055">
            <w:rPr>
              <w:b/>
              <w:bCs/>
              <w:noProof w:val="0"/>
              <w:sz w:val="26"/>
              <w:szCs w:val="26"/>
              <w:rtl/>
            </w:rPr>
            <w:t xml:space="preserve"> </w:t>
          </w:r>
          <w:sdt>
            <w:sdtPr>
              <w:rPr>
                <w:b/>
                <w:bCs/>
                <w:noProof w:val="0"/>
                <w:sz w:val="26"/>
                <w:szCs w:val="26"/>
                <w:rtl/>
              </w:rPr>
              <w:alias w:val="1172"/>
              <w:tag w:val="1172"/>
              <w:id w:val="-1742169342"/>
              <w:text w:multiLine="1"/>
            </w:sdtPr>
            <w:sdtEndPr/>
            <w:sdtContent>
              <w:r w:rsidR="00445367">
                <w:rPr>
                  <w:b/>
                  <w:bCs/>
                  <w:noProof w:val="0"/>
                  <w:sz w:val="26"/>
                  <w:szCs w:val="26"/>
                  <w:rtl/>
                </w:rPr>
                <w:t>בלסיאנו נ' עיריית בת ים</w:t>
              </w:r>
            </w:sdtContent>
          </w:sdt>
        </w:p>
        <w:p w:rsidR="00957C90" w:rsidRPr="00CD0055" w:rsidRDefault="00957C90" w:rsidP="000B2E97">
          <w:pPr>
            <w:rPr>
              <w:b/>
              <w:bCs/>
              <w:noProof w:val="0"/>
              <w:sz w:val="26"/>
              <w:szCs w:val="26"/>
              <w:rtl/>
            </w:rPr>
          </w:pPr>
          <w:r w:rsidRPr="00CD0055">
            <w:rPr>
              <w:rFonts w:hint="cs"/>
              <w:b/>
              <w:bCs/>
              <w:noProof w:val="0"/>
              <w:sz w:val="26"/>
              <w:szCs w:val="26"/>
              <w:rtl/>
            </w:rPr>
            <w:t xml:space="preserve"> </w:t>
          </w:r>
        </w:p>
      </w:tc>
    </w:tr>
  </w:tbl>
  <w:p w:rsidR="00694556" w:rsidRPr="00CD0055" w:rsidRDefault="00694556">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6B56" w:rsidRDefault="00D26B5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502E49"/>
    <w:multiLevelType w:val="multilevel"/>
    <w:tmpl w:val="EE329E3C"/>
    <w:lvl w:ilvl="0">
      <w:start w:val="1"/>
      <w:numFmt w:val="decimal"/>
      <w:lvlText w:val="%1."/>
      <w:lvlJc w:val="left"/>
      <w:pPr>
        <w:ind w:left="720" w:hanging="360"/>
      </w:pPr>
    </w:lvl>
    <w:lvl w:ilvl="1">
      <w:start w:val="1"/>
      <w:numFmt w:val="decimal"/>
      <w:isLgl/>
      <w:lvlText w:val="%1.%2"/>
      <w:lvlJc w:val="left"/>
      <w:pPr>
        <w:ind w:left="1069" w:hanging="360"/>
      </w:pPr>
      <w:rPr>
        <w:b w:val="0"/>
        <w:bCs w:val="0"/>
        <w:lang w:val="en-US" w:bidi="he-IL"/>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600" w:hanging="1080"/>
      </w:pPr>
    </w:lvl>
    <w:lvl w:ilvl="7">
      <w:start w:val="1"/>
      <w:numFmt w:val="decimal"/>
      <w:isLgl/>
      <w:lvlText w:val="%1.%2.%3.%4.%5.%6.%7.%8"/>
      <w:lvlJc w:val="left"/>
      <w:pPr>
        <w:ind w:left="4320" w:hanging="1440"/>
      </w:pPr>
    </w:lvl>
    <w:lvl w:ilvl="8">
      <w:start w:val="1"/>
      <w:numFmt w:val="decimal"/>
      <w:isLgl/>
      <w:lvlText w:val="%1.%2.%3.%4.%5.%6.%7.%8.%9"/>
      <w:lvlJc w:val="left"/>
      <w:pPr>
        <w:ind w:left="4680" w:hanging="1440"/>
      </w:pPr>
    </w:lvl>
  </w:abstractNum>
  <w:abstractNum w:abstractNumId="1" w15:restartNumberingAfterBreak="0">
    <w:nsid w:val="2EE96E07"/>
    <w:multiLevelType w:val="hybridMultilevel"/>
    <w:tmpl w:val="A0CE7118"/>
    <w:lvl w:ilvl="0" w:tplc="5D2E3780">
      <w:start w:val="1"/>
      <w:numFmt w:val="hebrew1"/>
      <w:lvlText w:val="(%1)"/>
      <w:lvlJc w:val="left"/>
      <w:pPr>
        <w:ind w:left="755" w:hanging="360"/>
      </w:pPr>
    </w:lvl>
    <w:lvl w:ilvl="1" w:tplc="04090019">
      <w:start w:val="1"/>
      <w:numFmt w:val="lowerLetter"/>
      <w:lvlText w:val="%2."/>
      <w:lvlJc w:val="left"/>
      <w:pPr>
        <w:ind w:left="1475" w:hanging="360"/>
      </w:pPr>
    </w:lvl>
    <w:lvl w:ilvl="2" w:tplc="0409001B">
      <w:start w:val="1"/>
      <w:numFmt w:val="lowerRoman"/>
      <w:lvlText w:val="%3."/>
      <w:lvlJc w:val="right"/>
      <w:pPr>
        <w:ind w:left="2195" w:hanging="180"/>
      </w:pPr>
    </w:lvl>
    <w:lvl w:ilvl="3" w:tplc="0409000F">
      <w:start w:val="1"/>
      <w:numFmt w:val="decimal"/>
      <w:lvlText w:val="%4."/>
      <w:lvlJc w:val="left"/>
      <w:pPr>
        <w:ind w:left="2915" w:hanging="360"/>
      </w:pPr>
    </w:lvl>
    <w:lvl w:ilvl="4" w:tplc="04090019">
      <w:start w:val="1"/>
      <w:numFmt w:val="lowerLetter"/>
      <w:lvlText w:val="%5."/>
      <w:lvlJc w:val="left"/>
      <w:pPr>
        <w:ind w:left="3635" w:hanging="360"/>
      </w:pPr>
    </w:lvl>
    <w:lvl w:ilvl="5" w:tplc="0409001B">
      <w:start w:val="1"/>
      <w:numFmt w:val="lowerRoman"/>
      <w:lvlText w:val="%6."/>
      <w:lvlJc w:val="right"/>
      <w:pPr>
        <w:ind w:left="4355" w:hanging="180"/>
      </w:pPr>
    </w:lvl>
    <w:lvl w:ilvl="6" w:tplc="0409000F">
      <w:start w:val="1"/>
      <w:numFmt w:val="decimal"/>
      <w:lvlText w:val="%7."/>
      <w:lvlJc w:val="left"/>
      <w:pPr>
        <w:ind w:left="5075" w:hanging="360"/>
      </w:pPr>
    </w:lvl>
    <w:lvl w:ilvl="7" w:tplc="04090019">
      <w:start w:val="1"/>
      <w:numFmt w:val="lowerLetter"/>
      <w:lvlText w:val="%8."/>
      <w:lvlJc w:val="left"/>
      <w:pPr>
        <w:ind w:left="5795" w:hanging="360"/>
      </w:pPr>
    </w:lvl>
    <w:lvl w:ilvl="8" w:tplc="0409001B">
      <w:start w:val="1"/>
      <w:numFmt w:val="lowerRoman"/>
      <w:lvlText w:val="%9."/>
      <w:lvlJc w:val="right"/>
      <w:pPr>
        <w:ind w:left="6515" w:hanging="180"/>
      </w:pPr>
    </w:lvl>
  </w:abstractNum>
  <w:abstractNum w:abstractNumId="2" w15:restartNumberingAfterBreak="0">
    <w:nsid w:val="36BE5A78"/>
    <w:multiLevelType w:val="hybridMultilevel"/>
    <w:tmpl w:val="13809C78"/>
    <w:lvl w:ilvl="0" w:tplc="8A92670E">
      <w:start w:val="1"/>
      <w:numFmt w:val="hebrew1"/>
      <w:lvlText w:val="(%1)"/>
      <w:lvlJc w:val="left"/>
      <w:pPr>
        <w:ind w:left="755" w:hanging="360"/>
      </w:pPr>
    </w:lvl>
    <w:lvl w:ilvl="1" w:tplc="04090019">
      <w:start w:val="1"/>
      <w:numFmt w:val="lowerLetter"/>
      <w:lvlText w:val="%2."/>
      <w:lvlJc w:val="left"/>
      <w:pPr>
        <w:ind w:left="1475" w:hanging="360"/>
      </w:pPr>
    </w:lvl>
    <w:lvl w:ilvl="2" w:tplc="0409001B">
      <w:start w:val="1"/>
      <w:numFmt w:val="lowerRoman"/>
      <w:lvlText w:val="%3."/>
      <w:lvlJc w:val="right"/>
      <w:pPr>
        <w:ind w:left="2195" w:hanging="180"/>
      </w:pPr>
    </w:lvl>
    <w:lvl w:ilvl="3" w:tplc="0409000F">
      <w:start w:val="1"/>
      <w:numFmt w:val="decimal"/>
      <w:lvlText w:val="%4."/>
      <w:lvlJc w:val="left"/>
      <w:pPr>
        <w:ind w:left="2915" w:hanging="360"/>
      </w:pPr>
    </w:lvl>
    <w:lvl w:ilvl="4" w:tplc="04090019">
      <w:start w:val="1"/>
      <w:numFmt w:val="lowerLetter"/>
      <w:lvlText w:val="%5."/>
      <w:lvlJc w:val="left"/>
      <w:pPr>
        <w:ind w:left="3635" w:hanging="360"/>
      </w:pPr>
    </w:lvl>
    <w:lvl w:ilvl="5" w:tplc="0409001B">
      <w:start w:val="1"/>
      <w:numFmt w:val="lowerRoman"/>
      <w:lvlText w:val="%6."/>
      <w:lvlJc w:val="right"/>
      <w:pPr>
        <w:ind w:left="4355" w:hanging="180"/>
      </w:pPr>
    </w:lvl>
    <w:lvl w:ilvl="6" w:tplc="0409000F">
      <w:start w:val="1"/>
      <w:numFmt w:val="decimal"/>
      <w:lvlText w:val="%7."/>
      <w:lvlJc w:val="left"/>
      <w:pPr>
        <w:ind w:left="5075" w:hanging="360"/>
      </w:pPr>
    </w:lvl>
    <w:lvl w:ilvl="7" w:tplc="04090019">
      <w:start w:val="1"/>
      <w:numFmt w:val="lowerLetter"/>
      <w:lvlText w:val="%8."/>
      <w:lvlJc w:val="left"/>
      <w:pPr>
        <w:ind w:left="5795" w:hanging="360"/>
      </w:pPr>
    </w:lvl>
    <w:lvl w:ilvl="8" w:tplc="0409001B">
      <w:start w:val="1"/>
      <w:numFmt w:val="lowerRoman"/>
      <w:lvlText w:val="%9."/>
      <w:lvlJc w:val="right"/>
      <w:pPr>
        <w:ind w:left="6515" w:hanging="180"/>
      </w:pPr>
    </w:lvl>
  </w:abstractNum>
  <w:abstractNum w:abstractNumId="3" w15:restartNumberingAfterBreak="0">
    <w:nsid w:val="5DCE00BB"/>
    <w:multiLevelType w:val="hybridMultilevel"/>
    <w:tmpl w:val="5D109040"/>
    <w:lvl w:ilvl="0" w:tplc="6FD257F2">
      <w:start w:val="1"/>
      <w:numFmt w:val="bullet"/>
      <w:lvlText w:val="-"/>
      <w:lvlJc w:val="left"/>
      <w:pPr>
        <w:ind w:left="755" w:hanging="360"/>
      </w:pPr>
      <w:rPr>
        <w:rFonts w:ascii="David" w:eastAsiaTheme="minorHAnsi" w:hAnsi="David" w:cs="David" w:hint="default"/>
      </w:rPr>
    </w:lvl>
    <w:lvl w:ilvl="1" w:tplc="04090003">
      <w:start w:val="1"/>
      <w:numFmt w:val="bullet"/>
      <w:lvlText w:val="o"/>
      <w:lvlJc w:val="left"/>
      <w:pPr>
        <w:ind w:left="1475" w:hanging="360"/>
      </w:pPr>
      <w:rPr>
        <w:rFonts w:ascii="Courier New" w:hAnsi="Courier New" w:cs="Courier New" w:hint="default"/>
      </w:rPr>
    </w:lvl>
    <w:lvl w:ilvl="2" w:tplc="04090005">
      <w:start w:val="1"/>
      <w:numFmt w:val="bullet"/>
      <w:lvlText w:val=""/>
      <w:lvlJc w:val="left"/>
      <w:pPr>
        <w:ind w:left="2195" w:hanging="360"/>
      </w:pPr>
      <w:rPr>
        <w:rFonts w:ascii="Wingdings" w:hAnsi="Wingdings" w:hint="default"/>
      </w:rPr>
    </w:lvl>
    <w:lvl w:ilvl="3" w:tplc="04090001">
      <w:start w:val="1"/>
      <w:numFmt w:val="bullet"/>
      <w:lvlText w:val=""/>
      <w:lvlJc w:val="left"/>
      <w:pPr>
        <w:ind w:left="2915" w:hanging="360"/>
      </w:pPr>
      <w:rPr>
        <w:rFonts w:ascii="Symbol" w:hAnsi="Symbol" w:hint="default"/>
      </w:rPr>
    </w:lvl>
    <w:lvl w:ilvl="4" w:tplc="04090003">
      <w:start w:val="1"/>
      <w:numFmt w:val="bullet"/>
      <w:lvlText w:val="o"/>
      <w:lvlJc w:val="left"/>
      <w:pPr>
        <w:ind w:left="3635" w:hanging="360"/>
      </w:pPr>
      <w:rPr>
        <w:rFonts w:ascii="Courier New" w:hAnsi="Courier New" w:cs="Courier New" w:hint="default"/>
      </w:rPr>
    </w:lvl>
    <w:lvl w:ilvl="5" w:tplc="04090005">
      <w:start w:val="1"/>
      <w:numFmt w:val="bullet"/>
      <w:lvlText w:val=""/>
      <w:lvlJc w:val="left"/>
      <w:pPr>
        <w:ind w:left="4355" w:hanging="360"/>
      </w:pPr>
      <w:rPr>
        <w:rFonts w:ascii="Wingdings" w:hAnsi="Wingdings" w:hint="default"/>
      </w:rPr>
    </w:lvl>
    <w:lvl w:ilvl="6" w:tplc="04090001">
      <w:start w:val="1"/>
      <w:numFmt w:val="bullet"/>
      <w:lvlText w:val=""/>
      <w:lvlJc w:val="left"/>
      <w:pPr>
        <w:ind w:left="5075" w:hanging="360"/>
      </w:pPr>
      <w:rPr>
        <w:rFonts w:ascii="Symbol" w:hAnsi="Symbol" w:hint="default"/>
      </w:rPr>
    </w:lvl>
    <w:lvl w:ilvl="7" w:tplc="04090003">
      <w:start w:val="1"/>
      <w:numFmt w:val="bullet"/>
      <w:lvlText w:val="o"/>
      <w:lvlJc w:val="left"/>
      <w:pPr>
        <w:ind w:left="5795" w:hanging="360"/>
      </w:pPr>
      <w:rPr>
        <w:rFonts w:ascii="Courier New" w:hAnsi="Courier New" w:cs="Courier New" w:hint="default"/>
      </w:rPr>
    </w:lvl>
    <w:lvl w:ilvl="8" w:tplc="04090005">
      <w:start w:val="1"/>
      <w:numFmt w:val="bullet"/>
      <w:lvlText w:val=""/>
      <w:lvlJc w:val="left"/>
      <w:pPr>
        <w:ind w:left="6515" w:hanging="360"/>
      </w:pPr>
      <w:rPr>
        <w:rFonts w:ascii="Wingdings" w:hAnsi="Wingdings" w:hint="default"/>
      </w:rPr>
    </w:lvl>
  </w:abstractNum>
  <w:abstractNum w:abstractNumId="4" w15:restartNumberingAfterBreak="0">
    <w:nsid w:val="5F3075B4"/>
    <w:multiLevelType w:val="hybridMultilevel"/>
    <w:tmpl w:val="BDEEC8C8"/>
    <w:lvl w:ilvl="0" w:tplc="DCB0E924">
      <w:start w:val="1"/>
      <w:numFmt w:val="hebrew1"/>
      <w:lvlText w:val="(%1)"/>
      <w:lvlJc w:val="left"/>
      <w:pPr>
        <w:ind w:left="755" w:hanging="360"/>
      </w:pPr>
    </w:lvl>
    <w:lvl w:ilvl="1" w:tplc="04090019">
      <w:start w:val="1"/>
      <w:numFmt w:val="lowerLetter"/>
      <w:lvlText w:val="%2."/>
      <w:lvlJc w:val="left"/>
      <w:pPr>
        <w:ind w:left="1475" w:hanging="360"/>
      </w:pPr>
    </w:lvl>
    <w:lvl w:ilvl="2" w:tplc="0409001B">
      <w:start w:val="1"/>
      <w:numFmt w:val="lowerRoman"/>
      <w:lvlText w:val="%3."/>
      <w:lvlJc w:val="right"/>
      <w:pPr>
        <w:ind w:left="2195" w:hanging="180"/>
      </w:pPr>
    </w:lvl>
    <w:lvl w:ilvl="3" w:tplc="0409000F">
      <w:start w:val="1"/>
      <w:numFmt w:val="decimal"/>
      <w:lvlText w:val="%4."/>
      <w:lvlJc w:val="left"/>
      <w:pPr>
        <w:ind w:left="2915" w:hanging="360"/>
      </w:pPr>
    </w:lvl>
    <w:lvl w:ilvl="4" w:tplc="04090019">
      <w:start w:val="1"/>
      <w:numFmt w:val="lowerLetter"/>
      <w:lvlText w:val="%5."/>
      <w:lvlJc w:val="left"/>
      <w:pPr>
        <w:ind w:left="3635" w:hanging="360"/>
      </w:pPr>
    </w:lvl>
    <w:lvl w:ilvl="5" w:tplc="0409001B">
      <w:start w:val="1"/>
      <w:numFmt w:val="lowerRoman"/>
      <w:lvlText w:val="%6."/>
      <w:lvlJc w:val="right"/>
      <w:pPr>
        <w:ind w:left="4355" w:hanging="180"/>
      </w:pPr>
    </w:lvl>
    <w:lvl w:ilvl="6" w:tplc="0409000F">
      <w:start w:val="1"/>
      <w:numFmt w:val="decimal"/>
      <w:lvlText w:val="%7."/>
      <w:lvlJc w:val="left"/>
      <w:pPr>
        <w:ind w:left="5075" w:hanging="360"/>
      </w:pPr>
    </w:lvl>
    <w:lvl w:ilvl="7" w:tplc="04090019">
      <w:start w:val="1"/>
      <w:numFmt w:val="lowerLetter"/>
      <w:lvlText w:val="%8."/>
      <w:lvlJc w:val="left"/>
      <w:pPr>
        <w:ind w:left="5795" w:hanging="360"/>
      </w:pPr>
    </w:lvl>
    <w:lvl w:ilvl="8" w:tplc="0409001B">
      <w:start w:val="1"/>
      <w:numFmt w:val="lowerRoman"/>
      <w:lvlText w:val="%9."/>
      <w:lvlJc w:val="right"/>
      <w:pPr>
        <w:ind w:left="6515" w:hanging="180"/>
      </w:pPr>
    </w:lvl>
  </w:abstractNum>
  <w:abstractNum w:abstractNumId="5" w15:restartNumberingAfterBreak="0">
    <w:nsid w:val="7B87392A"/>
    <w:multiLevelType w:val="hybridMultilevel"/>
    <w:tmpl w:val="22BCCD5C"/>
    <w:lvl w:ilvl="0" w:tplc="F9C6E740">
      <w:start w:val="1"/>
      <w:numFmt w:val="hebrew1"/>
      <w:lvlText w:val="(%1)"/>
      <w:lvlJc w:val="left"/>
      <w:pPr>
        <w:ind w:left="188" w:hanging="360"/>
      </w:pPr>
    </w:lvl>
    <w:lvl w:ilvl="1" w:tplc="04090019">
      <w:start w:val="1"/>
      <w:numFmt w:val="lowerLetter"/>
      <w:lvlText w:val="%2."/>
      <w:lvlJc w:val="left"/>
      <w:pPr>
        <w:ind w:left="908" w:hanging="360"/>
      </w:pPr>
    </w:lvl>
    <w:lvl w:ilvl="2" w:tplc="0409001B">
      <w:start w:val="1"/>
      <w:numFmt w:val="lowerRoman"/>
      <w:lvlText w:val="%3."/>
      <w:lvlJc w:val="right"/>
      <w:pPr>
        <w:ind w:left="1628" w:hanging="180"/>
      </w:pPr>
    </w:lvl>
    <w:lvl w:ilvl="3" w:tplc="0409000F">
      <w:start w:val="1"/>
      <w:numFmt w:val="decimal"/>
      <w:lvlText w:val="%4."/>
      <w:lvlJc w:val="left"/>
      <w:pPr>
        <w:ind w:left="2348" w:hanging="360"/>
      </w:pPr>
    </w:lvl>
    <w:lvl w:ilvl="4" w:tplc="04090019">
      <w:start w:val="1"/>
      <w:numFmt w:val="lowerLetter"/>
      <w:lvlText w:val="%5."/>
      <w:lvlJc w:val="left"/>
      <w:pPr>
        <w:ind w:left="3068" w:hanging="360"/>
      </w:pPr>
    </w:lvl>
    <w:lvl w:ilvl="5" w:tplc="0409001B">
      <w:start w:val="1"/>
      <w:numFmt w:val="lowerRoman"/>
      <w:lvlText w:val="%6."/>
      <w:lvlJc w:val="right"/>
      <w:pPr>
        <w:ind w:left="3788" w:hanging="180"/>
      </w:pPr>
    </w:lvl>
    <w:lvl w:ilvl="6" w:tplc="0409000F">
      <w:start w:val="1"/>
      <w:numFmt w:val="decimal"/>
      <w:lvlText w:val="%7."/>
      <w:lvlJc w:val="left"/>
      <w:pPr>
        <w:ind w:left="4508" w:hanging="360"/>
      </w:pPr>
    </w:lvl>
    <w:lvl w:ilvl="7" w:tplc="04090019">
      <w:start w:val="1"/>
      <w:numFmt w:val="lowerLetter"/>
      <w:lvlText w:val="%8."/>
      <w:lvlJc w:val="left"/>
      <w:pPr>
        <w:ind w:left="5228" w:hanging="360"/>
      </w:pPr>
    </w:lvl>
    <w:lvl w:ilvl="8" w:tplc="0409001B">
      <w:start w:val="1"/>
      <w:numFmt w:val="lowerRoman"/>
      <w:lvlText w:val="%9."/>
      <w:lvlJc w:val="right"/>
      <w:pPr>
        <w:ind w:left="594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56899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568990&amp;lt;/CaseID&amp;gt;_x000d__x000a_        &amp;lt;CaseMonth&amp;gt;8&amp;lt;/CaseMonth&amp;gt;_x000d__x000a_        &amp;lt;CaseYear&amp;gt;2022&amp;lt;/CaseYear&amp;gt;_x000d__x000a_        &amp;lt;CaseNumber&amp;gt;66854&amp;lt;/CaseNumber&amp;gt;_x000d__x000a_        &amp;lt;NumeratorGroupID&amp;gt;1&amp;lt;/NumeratorGroupID&amp;gt;_x000d__x000a_        &amp;lt;CaseName&amp;gt;בלסיאנו נ&amp;#39; עיריית בת ים&amp;lt;/CaseName&amp;gt;_x000d__x000a_        &amp;lt;CourtID&amp;gt;32&amp;lt;/CourtID&amp;gt;_x000d__x000a_        &amp;lt;CaseTypeID&amp;gt;1&amp;lt;/CaseTypeID&amp;gt;_x000d__x000a_        &amp;lt;CaseInterestID&amp;gt;105&amp;lt;/CaseInterestID&amp;gt;_x000d__x000a_        &amp;lt;CaseJudgeName&amp;gt;אביים ברקאי&amp;lt;/CaseJudgeName&amp;gt;_x000d__x000a_        &amp;lt;CaseLinkTypeID&amp;gt;7&amp;lt;/CaseLinkTypeID&amp;gt;_x000d__x000a_        &amp;lt;ProcedureID&amp;gt;1&amp;lt;/ProcedureID&amp;gt;_x000d__x000a_        &amp;lt;CaseStatusID&amp;gt;1&amp;lt;/CaseStatusID&amp;gt;_x000d__x000a_        &amp;lt;ProceedingID&amp;gt;1&amp;lt;/ProceedingID&amp;gt;_x000d__x000a_        &amp;lt;IsCaseLinked&amp;gt;true&amp;lt;/IsCaseLinked&amp;gt;_x000d__x000a_        &amp;lt;PrivilegeID&amp;gt;1&amp;lt;/PrivilegeID&amp;gt;_x000d__x000a_        &amp;lt;IsAppealingCaseExist&amp;gt;true&amp;lt;/IsAppealingCaseExist&amp;gt;_x000d__x000a_        &amp;lt;CaseDisplayIdentifier&amp;gt;66854-08-22&amp;lt;/CaseDisplayIdentifier&amp;gt;_x000d__x000a_        &amp;lt;CaseTypeDesc&amp;gt;ת&amp;quot;א&amp;lt;/CaseTypeDesc&amp;gt;_x000d__x000a_        &amp;lt;CourtDesc&amp;gt;שלום תל אביב - יפו&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IsExecutionDelayed&amp;gt;false&amp;lt;/IsExecutionDelayed&amp;gt;_x000d__x000a_        &amp;lt;CasePreviousSessionDate&amp;gt;2023-06-01T07:00:00+03:00&amp;lt;/CasePreviousSessionDate&amp;gt;_x000d__x000a_        &amp;lt;CaseNextDeterminingTask&amp;gt;140&amp;lt;/CaseNextDeterminingTask&amp;gt;_x000d__x000a_        &amp;lt;TemporaryAidStatus&amp;gt;קיימות בקשות לסעדים זמניים בתיק&amp;lt;/TemporaryAidStatus&amp;gt;_x000d__x000a_        &amp;lt;CaseOpenDate&amp;gt;2022-08-31T08:05:00+03:00&amp;lt;/CaseOpenDate&amp;gt;_x000d__x000a_        &amp;lt;PleaTypeID&amp;gt;4&amp;lt;/PleaTypeID&amp;gt;_x000d__x000a_        &amp;lt;CourtLevelID&amp;gt;1&amp;lt;/CourtLevelID&amp;gt;_x000d__x000a_        &amp;lt;CourtLevelCaseTypeInterestID&amp;gt;17&amp;lt;/CourtLevelCaseTypeInterestID&amp;gt;_x000d__x000a_        &amp;lt;CaseJudgeFirstName&amp;gt;אביים&amp;lt;/CaseJudgeFirstName&amp;gt;_x000d__x000a_        &amp;lt;CaseJudgeLastName&amp;gt;ברקאי&amp;lt;/CaseJudgeLastName&amp;gt;_x000d__x000a_        &amp;lt;JudicalPersonID&amp;gt;022147607@GOV.IL&amp;lt;/JudicalPersonID&amp;gt;_x000d__x000a_        &amp;lt;IsJudicalPanel&amp;gt;false&amp;lt;/IsJudicalPanel&amp;gt;_x000d__x000a_        &amp;lt;CourtDisplayName&amp;gt;בית משפט השלום בתל אביב -יפו&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CasePreviousSessionTypeID&amp;gt;29&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568990&amp;lt;/CaseID&amp;gt;_x000d__x000a_        &amp;lt;CaseMonth&amp;gt;8&amp;lt;/CaseMonth&amp;gt;_x000d__x000a_        &amp;lt;CaseYear&amp;gt;2022&amp;lt;/CaseYear&amp;gt;_x000d__x000a_        &amp;lt;CaseNumber&amp;gt;66854&amp;lt;/CaseNumber&amp;gt;_x000d__x000a_        &amp;lt;NumeratorGroupID&amp;gt;1&amp;lt;/NumeratorGroupID&amp;gt;_x000d__x000a_        &amp;lt;CaseName&amp;gt;בלסיאנו נ&amp;#39; עיריית בת ים&amp;lt;/CaseName&amp;gt;_x000d__x000a_        &amp;lt;CourtID&amp;gt;32&amp;lt;/CourtID&amp;gt;_x000d__x000a_        &amp;lt;CaseTypeID&amp;gt;1&amp;lt;/CaseTypeID&amp;gt;_x000d__x000a_        &amp;lt;CaseInterestID&amp;gt;105&amp;lt;/CaseInterestID&amp;gt;_x000d__x000a_        &amp;lt;CaseJudgeName&amp;gt;אביים ברקאי&amp;lt;/CaseJudgeName&amp;gt;_x000d__x000a_        &amp;lt;CaseLinkTypeID&amp;gt;7&amp;lt;/CaseLinkTypeID&amp;gt;_x000d__x000a_        &amp;lt;ProcedureID&amp;gt;1&amp;lt;/ProcedureID&amp;gt;_x000d__x000a_        &amp;lt;CaseStatusID&amp;gt;1&amp;lt;/CaseStatusID&amp;gt;_x000d__x000a_        &amp;lt;ProceedingID&amp;gt;1&amp;lt;/ProceedingID&amp;gt;_x000d__x000a_        &amp;lt;IsCaseLinked&amp;gt;true&amp;lt;/IsCaseLinked&amp;gt;_x000d__x000a_        &amp;lt;PrivilegeID&amp;gt;1&amp;lt;/PrivilegeID&amp;gt;_x000d__x000a_        &amp;lt;IsAppealingCaseExist&amp;gt;true&amp;lt;/IsAppealingCaseExist&amp;gt;_x000d__x000a_        &amp;lt;CaseDisplayIdentifier&amp;gt;66854-08-22&amp;lt;/CaseDisplayIdentifier&amp;gt;_x000d__x000a_        &amp;lt;CaseTypeDesc&amp;gt;ת&amp;quot;א&amp;lt;/CaseTypeDesc&amp;gt;_x000d__x000a_        &amp;lt;CourtDesc&amp;gt;שלום תל אביב - יפו&amp;lt;/CourtDesc&amp;gt;_x000d__x000a_        &amp;lt;CaseStageDesc&amp;gt;תיק אלקטרוני&amp;lt;/CaseStageDesc&amp;gt;_x000d__x000a_        &amp;lt;CaseNextDeterminingTask&amp;gt;140&amp;lt;/CaseNextDeterminingTask&amp;gt;_x000d__x000a_        &amp;lt;CaseOpenDate&amp;gt;2022-08-31T08:05:00+03:00&amp;lt;/CaseOpenDate&amp;gt;_x000d__x000a_        &amp;lt;PleaTypeID&amp;gt;4&amp;lt;/PleaTypeID&amp;gt;_x000d__x000a_        &amp;lt;CourtLevelID&amp;gt;1&amp;lt;/CourtLevelID&amp;gt;_x000d__x000a_        &amp;lt;CourtLevelCaseTypeInterestID&amp;gt;17&amp;lt;/CourtLevelCaseTypeInterestID&amp;gt;_x000d__x000a_        &amp;lt;CaseJudgeFirstName&amp;gt;אביים&amp;lt;/CaseJudgeFirstName&amp;gt;_x000d__x000a_        &amp;lt;CaseJudgeLastName&amp;gt;ברקאי&amp;lt;/CaseJudgeLastName&amp;gt;_x000d__x000a_        &amp;lt;JudicalPersonID&amp;gt;022147607@GOV.IL&amp;lt;/JudicalPersonID&amp;gt;_x000d__x000a_        &amp;lt;IsJudicalPanel&amp;gt;false&amp;lt;/IsJudicalPanel&amp;gt;_x000d__x000a_        &amp;lt;CourtDisplayName&amp;gt;בית משפט השלום בתל אביב -יפו&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2"/>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09-06T10:04:41.9875896+03:00&amp;lt;/DecisionStatusChangeDate&amp;gt;_x000d__x000a_        &amp;lt;DecisionSignatureDate&amp;gt;2023-09-06T10:04:41.9875896+03:00&amp;lt;/DecisionSignatureDate&amp;gt;_x000d__x000a_        &amp;lt;DecisionSignatureUserID&amp;gt;022147607@GOV.IL&amp;lt;/DecisionSignatureUserID&amp;gt;_x000d__x000a_        &amp;lt;DecisionCreateDate&amp;gt;2023-09-06T10:04:41.9875896+03:00&amp;lt;/DecisionCreateDate&amp;gt;_x000d__x000a_        &amp;lt;DecisionChangeDate&amp;gt;2023-09-06T10:04:41.9875896+03:00&amp;lt;/DecisionChangeDate&amp;gt;_x000d__x000a_        &amp;lt;DecisionChangeUserID&amp;gt;02214760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14760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147607@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9568990&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5"/>
    <w:docVar w:name="NGCS.TemplateCaseTypeID" w:val="1"/>
    <w:docVar w:name="NGCS.TemplateCategoryID" w:val="80"/>
    <w:docVar w:name="NGCS.TemplateCourtID" w:val="32"/>
    <w:docVar w:name="NGCS.TemplateProceedingID" w:val="1"/>
    <w:docVar w:name="SelectedDocumentID" w:val="387981416"/>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B2E97"/>
    <w:rsid w:val="000D4A02"/>
    <w:rsid w:val="001072A9"/>
    <w:rsid w:val="00121F97"/>
    <w:rsid w:val="001277D7"/>
    <w:rsid w:val="00132017"/>
    <w:rsid w:val="00140E42"/>
    <w:rsid w:val="0014234E"/>
    <w:rsid w:val="00145A87"/>
    <w:rsid w:val="001C4003"/>
    <w:rsid w:val="001F5474"/>
    <w:rsid w:val="002352F7"/>
    <w:rsid w:val="00295DD1"/>
    <w:rsid w:val="003725BC"/>
    <w:rsid w:val="00381D3A"/>
    <w:rsid w:val="003823DA"/>
    <w:rsid w:val="0043595F"/>
    <w:rsid w:val="00445367"/>
    <w:rsid w:val="0046753C"/>
    <w:rsid w:val="004739A3"/>
    <w:rsid w:val="0047645A"/>
    <w:rsid w:val="004C5CA7"/>
    <w:rsid w:val="004D49A3"/>
    <w:rsid w:val="004E6E3C"/>
    <w:rsid w:val="005124F1"/>
    <w:rsid w:val="00530BAD"/>
    <w:rsid w:val="00541598"/>
    <w:rsid w:val="00547DB7"/>
    <w:rsid w:val="00567324"/>
    <w:rsid w:val="00590BFF"/>
    <w:rsid w:val="005B0F49"/>
    <w:rsid w:val="005C7EC6"/>
    <w:rsid w:val="005D4BDB"/>
    <w:rsid w:val="0060626B"/>
    <w:rsid w:val="00622BAA"/>
    <w:rsid w:val="00625C89"/>
    <w:rsid w:val="00633C4F"/>
    <w:rsid w:val="00671BD5"/>
    <w:rsid w:val="006805C1"/>
    <w:rsid w:val="006816EC"/>
    <w:rsid w:val="00694556"/>
    <w:rsid w:val="006E1A53"/>
    <w:rsid w:val="007056AA"/>
    <w:rsid w:val="00744F41"/>
    <w:rsid w:val="007A24FE"/>
    <w:rsid w:val="007A35AA"/>
    <w:rsid w:val="007F1048"/>
    <w:rsid w:val="00820005"/>
    <w:rsid w:val="0083107C"/>
    <w:rsid w:val="00846D27"/>
    <w:rsid w:val="008610A7"/>
    <w:rsid w:val="008E1332"/>
    <w:rsid w:val="00903896"/>
    <w:rsid w:val="00927813"/>
    <w:rsid w:val="00934F1C"/>
    <w:rsid w:val="00944D13"/>
    <w:rsid w:val="00957C90"/>
    <w:rsid w:val="009A32B6"/>
    <w:rsid w:val="009E0263"/>
    <w:rsid w:val="00A0260A"/>
    <w:rsid w:val="00A267CF"/>
    <w:rsid w:val="00A43458"/>
    <w:rsid w:val="00A62BD0"/>
    <w:rsid w:val="00AC4E19"/>
    <w:rsid w:val="00AF1ED6"/>
    <w:rsid w:val="00B06AED"/>
    <w:rsid w:val="00B14234"/>
    <w:rsid w:val="00B32C61"/>
    <w:rsid w:val="00B368FE"/>
    <w:rsid w:val="00B52482"/>
    <w:rsid w:val="00B676AB"/>
    <w:rsid w:val="00B80CBD"/>
    <w:rsid w:val="00BC3369"/>
    <w:rsid w:val="00BF77EE"/>
    <w:rsid w:val="00C32E0F"/>
    <w:rsid w:val="00C42BF9"/>
    <w:rsid w:val="00C83E56"/>
    <w:rsid w:val="00CB4F7C"/>
    <w:rsid w:val="00CD0055"/>
    <w:rsid w:val="00D23CD3"/>
    <w:rsid w:val="00D26B56"/>
    <w:rsid w:val="00D319B3"/>
    <w:rsid w:val="00D53924"/>
    <w:rsid w:val="00D60849"/>
    <w:rsid w:val="00D62049"/>
    <w:rsid w:val="00D71731"/>
    <w:rsid w:val="00D96D8C"/>
    <w:rsid w:val="00DD337E"/>
    <w:rsid w:val="00E00B6F"/>
    <w:rsid w:val="00E13360"/>
    <w:rsid w:val="00E50B33"/>
    <w:rsid w:val="00E54642"/>
    <w:rsid w:val="00E97908"/>
    <w:rsid w:val="00EF3ED0"/>
    <w:rsid w:val="00F17E56"/>
    <w:rsid w:val="00F4261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4739A3"/>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7919474">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59053404">
      <w:bodyDiv w:val="1"/>
      <w:marLeft w:val="0"/>
      <w:marRight w:val="0"/>
      <w:marTop w:val="0"/>
      <w:marBottom w:val="0"/>
      <w:divBdr>
        <w:top w:val="none" w:sz="0" w:space="0" w:color="auto"/>
        <w:left w:val="none" w:sz="0" w:space="0" w:color="auto"/>
        <w:bottom w:val="none" w:sz="0" w:space="0" w:color="auto"/>
        <w:right w:val="none" w:sz="0" w:space="0" w:color="auto"/>
      </w:divBdr>
    </w:div>
    <w:div w:id="159181592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227C29" w:rsidRDefault="00CC5512">
          <w:r w:rsidRPr="00C03291">
            <w:rPr>
              <w:rStyle w:val="a3"/>
              <w:rtl/>
            </w:rPr>
            <w:t>סמן</w:t>
          </w:r>
        </w:p>
      </w:docPartBody>
    </w:docPart>
    <w:docPart>
      <w:docPartPr>
        <w:name w:val="CF23C55E153C472887A89D9B7136BCD7"/>
        <w:category>
          <w:name w:val="כללי"/>
          <w:gallery w:val="placeholder"/>
        </w:category>
        <w:types>
          <w:type w:val="bbPlcHdr"/>
        </w:types>
        <w:behaviors>
          <w:behavior w:val="content"/>
        </w:behaviors>
        <w:guid w:val="{36E9EF2C-15FA-4B95-A211-BCB9CC7330BA}"/>
      </w:docPartPr>
      <w:docPartBody>
        <w:p w:rsidR="00F872AB" w:rsidRDefault="00F872AB" w:rsidP="00F872AB">
          <w:pPr>
            <w:pStyle w:val="CF23C55E153C472887A89D9B7136BCD71"/>
          </w:pPr>
          <w:r>
            <w:rPr>
              <w:rFonts w:ascii="Arial" w:hAnsi="Arial"/>
              <w:b/>
              <w:bCs/>
              <w:noProof w:val="0"/>
              <w:sz w:val="26"/>
              <w:szCs w:val="26"/>
              <w:rtl/>
            </w:rPr>
            <w:t>שם צד א' ללא שם של חסוי</w:t>
          </w:r>
        </w:p>
      </w:docPartBody>
    </w:docPart>
    <w:docPart>
      <w:docPartPr>
        <w:name w:val="194E34B33324450F97AD1D486216FCF5"/>
        <w:category>
          <w:name w:val="כללי"/>
          <w:gallery w:val="placeholder"/>
        </w:category>
        <w:types>
          <w:type w:val="bbPlcHdr"/>
        </w:types>
        <w:behaviors>
          <w:behavior w:val="content"/>
        </w:behaviors>
        <w:guid w:val="{F80DDA68-6EB1-44C9-9CD0-E49E279BC75A}"/>
      </w:docPartPr>
      <w:docPartBody>
        <w:p w:rsidR="00F872AB" w:rsidRDefault="00F872AB" w:rsidP="00F872AB">
          <w:pPr>
            <w:pStyle w:val="194E34B33324450F97AD1D486216FCF51"/>
          </w:pPr>
          <w:r>
            <w:rPr>
              <w:rFonts w:ascii="Arial" w:hAnsi="Arial"/>
              <w:b/>
              <w:bCs/>
              <w:noProof w:val="0"/>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27C29"/>
    <w:rsid w:val="00992B1E"/>
    <w:rsid w:val="00CC5512"/>
    <w:rsid w:val="00F872AB"/>
    <w:rsid w:val="00FD798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872AB"/>
    <w:rPr>
      <w:color w:val="808080"/>
    </w:rPr>
  </w:style>
  <w:style w:type="paragraph" w:customStyle="1" w:styleId="CF23C55E153C472887A89D9B7136BCD7">
    <w:name w:val="CF23C55E153C472887A89D9B7136BCD7"/>
    <w:rsid w:val="00992B1E"/>
    <w:pPr>
      <w:bidi/>
    </w:pPr>
  </w:style>
  <w:style w:type="paragraph" w:customStyle="1" w:styleId="194E34B33324450F97AD1D486216FCF5">
    <w:name w:val="194E34B33324450F97AD1D486216FCF5"/>
    <w:rsid w:val="00992B1E"/>
    <w:pPr>
      <w:bidi/>
    </w:pPr>
  </w:style>
  <w:style w:type="paragraph" w:customStyle="1" w:styleId="CF23C55E153C472887A89D9B7136BCD71">
    <w:name w:val="CF23C55E153C472887A89D9B7136BCD71"/>
    <w:rsid w:val="00F872AB"/>
    <w:pPr>
      <w:bidi/>
      <w:spacing w:after="0" w:line="240" w:lineRule="auto"/>
    </w:pPr>
    <w:rPr>
      <w:rFonts w:ascii="Times New Roman" w:eastAsia="Times New Roman" w:hAnsi="Times New Roman" w:cs="David"/>
      <w:noProof/>
      <w:sz w:val="24"/>
      <w:szCs w:val="24"/>
    </w:rPr>
  </w:style>
  <w:style w:type="paragraph" w:customStyle="1" w:styleId="194E34B33324450F97AD1D486216FCF51">
    <w:name w:val="194E34B33324450F97AD1D486216FCF51"/>
    <w:rsid w:val="00F872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79568990</CaseID>
    <CaseJudicialPersonPresentationDS>
      <CaseJudicalPersonActive>
        <CaseID>79568990</CaseID>
        <JudicialPersonID>022147607@GOV.IL</JudicialPersonID>
        <JudicialPersonTypeID>1</JudicialPersonTypeID>
        <JudicialTypeID>1</JudicialTypeID>
        <IsChairman>false</IsChairman>
        <TreatmentStartDate>2022-11-15T13:56:28.623+02:00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נורי קונפורטי</FullName>
        <FirstName>נורי</FirstName>
        <LastName>קונפורטי</LastName>
        <PartyPropertyName/>
        <AuthenticationTypeAndNumber>מ.ר. 6612</AuthenticationTypeAndNumber>
        <RepresentatedOrRepresentativesNames xml:space="preserve"> </RepresentatedOrRepresentativesNames>
        <RepresentatedOrRepresentativesCount>1</RepresentatedOrRepresentativesCount>
        <InvitedBy/>
        <CaseID>79568990</CaseID>
        <CaseJudicialPersonPresentationDS>
          <CaseJudicalPersonActive>
            <CaseID>79568990</CaseID>
            <JudicialPersonID>022147607@GOV.IL</JudicialPersonID>
            <JudicialPersonTypeID>1</JudicialPersonTypeID>
            <JudicialTypeID>1</JudicialTypeID>
            <IsChairman>false</IsChairman>
            <TreatmentStartDate>2022-11-15T13:56:28.623+02:00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245290924</CasePartyID>
        <PartyTypeID>2</PartyTypeID>
        <ActivityStatusID>1</ActivityStatusID>
        <PartyAliasID>21</PartyAliasID>
        <PartyAliasName>בא כוח נתבעים</PartyAliasName>
        <LegalEntityID>380017</LegalEntityID>
        <CaseLegalEntityID>121137433</CaseLegalEntityID>
        <AuthenticationTypeID>4</AuthenticationTypeID>
        <AuthenticationTypeName>מ.ר.</AuthenticationTypeName>
        <LegalEntityNumber>6612</LegalEntityNumber>
        <IsMainPartyType>true</IsMainPartyType>
        <CaseDisplayIdentifier>66854-08-22</CaseDisplayIdentifier>
        <CaseTypeID>1</CaseTypeID>
        <CaseTypeName>תיק אזרחי בסדר דין רגיל (ת"א)</CaseTypeName>
        <CaseName>בלסיאנו נ' עיריית בת ים</CaseName>
        <FullAddress>בר כוכבא 16 בני ברק בית נעה</FullAddress>
        <EmailAddress>nuri@conforti-law.co.il</EmailAddress>
        <MotionID>0</MotionID>
        <CasePleaID>0</CasePleaID>
        <LinkedCaseID>0</LinkedCaseID>
        <PartyID>2</PartyID>
        <CasePartyCategoryID>2</CasePartyCategoryID>
        <LegalEntityAddressID>86635723</LegalEntityAddressID>
        <LegalEntityEmailAddressID>67908728</LegalEntityEmailAddressID>
        <PleaTypeID>4</PleaTypeID>
        <LawyerOfficeName>משרד עו"ד נורי קונפורטי</LawyerOfficeName>
        <LawyerOfficeID>70826420</LawyerOfficeID>
        <GroupPartyAlias/>
        <IsConverted>false</IsConverted>
        <LegalEntityNameID>1001</LegalEntityNameID>
        <RepresentatedNamesOfAssistant/>
        <LegalEntityTypeID>4</LegalEntityTypeID>
        <IsVerdictExists>false</IsVerdictExists>
        <IsAsirAzir>false</IsAsirAzir>
        <IsPublicationProhibited>false</IsPublicationProhibited>
        <PublicationProhibitedFullName>נורי קונפורטי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אבי הורביץ</FullName>
        <FirstName>אבי</FirstName>
        <LastName>הורביץ</LastName>
        <PartyPropertyName/>
        <AuthenticationTypeAndNumber>מ.ר. 11660</AuthenticationTypeAndNumber>
        <RepresentatedOrRepresentativesNames>אורלי בלסיאנו</RepresentatedOrRepresentativesNames>
        <RepresentatedOrRepresentativesCount>1</RepresentatedOrRepresentativesCount>
        <InvitedBy/>
        <CaseID>79568990</CaseID>
        <CaseJudicialPersonPresentationDS>
          <CaseJudicalPersonActive>
            <CaseID>79568990</CaseID>
            <JudicialPersonID>022147607@GOV.IL</JudicialPersonID>
            <JudicialPersonTypeID>1</JudicialPersonTypeID>
            <JudicialTypeID>1</JudicialTypeID>
            <IsChairman>false</IsChairman>
            <TreatmentStartDate>2022-11-15T13:56:28.623+02:00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245240690</CasePartyID>
        <PartyTypeID>2</PartyTypeID>
        <ActivityStatusID>1</ActivityStatusID>
        <PartyAliasID>20</PartyAliasID>
        <PartyAliasName>בא כוח תובעים</PartyAliasName>
        <OrdinalNumber>1</OrdinalNumber>
        <LegalEntityID>380576</LegalEntityID>
        <CaseLegalEntityID>121117211</CaseLegalEntityID>
        <AuthenticationTypeID>4</AuthenticationTypeID>
        <AuthenticationTypeName>מ.ר.</AuthenticationTypeName>
        <LegalEntityNumber>11660</LegalEntityNumber>
        <IsMainPartyType>true</IsMainPartyType>
        <CaseDisplayIdentifier>66854-08-22</CaseDisplayIdentifier>
        <CaseTypeID>1</CaseTypeID>
        <CaseTypeName>תיק אזרחי בסדר דין רגיל (ת"א)</CaseTypeName>
        <CaseName>בלסיאנו נ' עיריית בת ים</CaseName>
        <FullAddress>נחלת יצחק 34 כניסה א תל אביב -יפו </FullAddress>
        <EmailAddress>avihorvitz@bezeqint.net</EmailAddress>
        <MotionID>0</MotionID>
        <CasePleaID>0</CasePleaID>
        <LinkedCaseID>0</LinkedCaseID>
        <PartyID>1</PartyID>
        <CasePartyCategoryID>2</CasePartyCategoryID>
        <LegalEntityAddressID>423558</LegalEntityAddressID>
        <LegalEntityEmailAddressID>67909463</LegalEntityEmailAddressID>
        <PleaTypeID>4</PleaTypeID>
        <LawyerOfficeName>משרד עו"ד: אבי הורביץ</LawyerOfficeName>
        <LawyerOfficeID>421220</LawyerOfficeID>
        <GroupPartyAlias/>
        <IsConverted>false</IsConverted>
        <LegalEntityNameID>1560</LegalEntityNameID>
        <RepresentatedNamesOfAssistant/>
        <LegalEntityTypeID>4</LegalEntityTypeID>
        <IsVerdictExists>false</IsVerdictExists>
        <IsAsirAzir>false</IsAsirAzir>
        <IsPublicationProhibited>false</IsPublicationProhibited>
        <PublicationProhibitedFullName>אבי הורביץ</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אורלי בלסיאנו</FullName>
        <FirstName>אורלי</FirstName>
        <LastName>בלסיאנו</LastName>
        <PartyPropertyName/>
        <AuthenticationTypeAndNumber>ת"ז 057259228</AuthenticationTypeAndNumber>
        <RepresentatedOrRepresentativesNames>ליעוז בלסיאנו, אבי הורביץ</RepresentatedOrRepresentativesNames>
        <RepresentatedOrRepresentativesCount>2</RepresentatedOrRepresentativesCount>
        <InvitedBy/>
        <CaseID>79568990</CaseID>
        <CaseJudicialPersonPresentationDS>
          <CaseJudicalPersonActive>
            <CaseID>79568990</CaseID>
            <JudicialPersonID>022147607@GOV.IL</JudicialPersonID>
            <JudicialPersonTypeID>1</JudicialPersonTypeID>
            <JudicialTypeID>1</JudicialTypeID>
            <IsChairman>false</IsChairman>
            <TreatmentStartDate>2022-11-15T13:56:28.623+02:00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245240689</CasePartyID>
        <PartyTypeID>1</PartyTypeID>
        <ActivityStatusID>1</ActivityStatusID>
        <PartyAliasID>1</PartyAliasID>
        <PartyAliasName>תובע</PartyAliasName>
        <OrdinalNumber>1</OrdinalNumber>
        <LegalEntityID>70425834</LegalEntityID>
        <CaseLegalEntityID>121117210</CaseLegalEntityID>
        <AuthenticationTypeID>1</AuthenticationTypeID>
        <AuthenticationTypeName>ת"ז</AuthenticationTypeName>
        <LegalEntityNumber>057259228</LegalEntityNumber>
        <IsMainPartyType>true</IsMainPartyType>
        <CaseDisplayIdentifier>66854-08-22</CaseDisplayIdentifier>
        <CaseTypeID>1</CaseTypeID>
        <CaseTypeName>תיק אזרחי בסדר דין רגיל (ת"א)</CaseTypeName>
        <CaseName>בלסיאנו נ' עיריית בת ים</CaseName>
        <FullAddress>השר שפירא 6 בת ים </FullAddress>
        <MotionID>0</MotionID>
        <CasePleaID>0</CasePleaID>
        <FatherName>יעקב</FatherName>
        <LinkedCaseID>0</LinkedCaseID>
        <PartyID>1</PartyID>
        <CasePartyCategoryID>2</CasePartyCategoryID>
        <LegalEntityAddressID>86922710</LegalEntityAddressID>
        <PleaTypeID>4</PleaTypeID>
        <GroupPartyAlias>תובעים</GroupPartyAlias>
        <IsConverted>false</IsConverted>
        <LegalEntityRegisteredNameID>2878513</LegalEntityRegisteredNameID>
        <LegalEntityNameID>93623747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אורלי בלסיאנו</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עיריית בת ים</FullName>
        <LastName>עיריית בת ים</LastName>
        <PartyPropertyName/>
        <AuthenticationTypeAndNumber>רשויות מקומיות 500262001</AuthenticationTypeAndNumber>
        <RepresentatedOrRepresentativesNames>נורי קונפורטי</RepresentatedOrRepresentativesNames>
        <RepresentatedOrRepresentativesCount>1</RepresentatedOrRepresentativesCount>
        <InvitedBy/>
        <CaseID>79568990</CaseID>
        <CaseJudicialPersonPresentationDS>
          <CaseJudicalPersonActive>
            <CaseID>79568990</CaseID>
            <JudicialPersonID>022147607@GOV.IL</JudicialPersonID>
            <JudicialPersonTypeID>1</JudicialPersonTypeID>
            <JudicialTypeID>1</JudicialTypeID>
            <IsChairman>false</IsChairman>
            <TreatmentStartDate>2022-11-15T13:56:28.623+02:00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245240691</CasePartyID>
        <PartyTypeID>1</PartyTypeID>
        <ActivityStatusID>1</ActivityStatusID>
        <PartyAliasID>2</PartyAliasID>
        <PartyAliasName>נתבע</PartyAliasName>
        <OrdinalNumber>1</OrdinalNumber>
        <LegalEntityID>470</LegalEntityID>
        <CaseLegalEntityID>121117212</CaseLegalEntityID>
        <AuthenticationTypeID>14</AuthenticationTypeID>
        <AuthenticationTypeName>רשויות מקומיות</AuthenticationTypeName>
        <LegalEntityNumber>500262001</LegalEntityNumber>
        <IsMainPartyType>true</IsMainPartyType>
        <CaseDisplayIdentifier>66854-08-22</CaseDisplayIdentifier>
        <CaseTypeID>1</CaseTypeID>
        <CaseTypeName>תיק אזרחי בסדר דין רגיל (ת"א)</CaseTypeName>
        <CaseName>בלסיאנו נ' עיריית בת ים</CaseName>
        <FullAddress>נורדאו בת ים </FullAddress>
        <EmailAddress>hanna_c@bat-yam.muni.il</EmailAddress>
        <MotionID>0</MotionID>
        <CasePleaID>0</CasePleaID>
        <LinkedCaseID>0</LinkedCaseID>
        <PartyID>2</PartyID>
        <CasePartyCategoryID>2</CasePartyCategoryID>
        <LegalEntityAddressID>86927634</LegalEntityAddressID>
        <LegalEntityEmailAddressID>68181573</LegalEntityEmailAddressID>
        <PleaTypeID>4</PleaTypeID>
        <GroupPartyAlias>נתבעים</GroupPartyAlias>
        <IsConverted>false</IsConverted>
        <LegalEntityRegisteredNameID>1717368</LegalEntityRegisteredNameID>
        <RepresentatedNamesOfAssistant/>
        <LegalEntityTypeID>3</LegalEntityTypeID>
        <IsVerdictExists>false</IsVerdictExists>
        <IsAsirAzir>false</IsAsirAzir>
        <IsPublicationProhibited>false</IsPublicationProhibited>
        <PublicationProhibitedFullName>עיריית בת ים</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ליעוז בלסיאנו</FullName>
        <FirstName>ליעוז</FirstName>
        <LastName>בלסיאנו</LastName>
        <PartyPropertyName/>
        <AuthenticationTypeAndNumber>מ.ר. 72102</AuthenticationTypeAndNumber>
        <RepresentatedOrRepresentativesNames>אורלי בלסיאנו</RepresentatedOrRepresentativesNames>
        <RepresentatedOrRepresentativesCount>1</RepresentatedOrRepresentativesCount>
        <InvitedBy/>
        <CaseID>79568990</CaseID>
        <CaseJudicialPersonPresentationDS>
          <CaseJudicalPersonActive>
            <CaseID>79568990</CaseID>
            <JudicialPersonID>022147607@GOV.IL</JudicialPersonID>
            <JudicialPersonTypeID>1</JudicialPersonTypeID>
            <JudicialTypeID>1</JudicialTypeID>
            <IsChairman>false</IsChairman>
            <TreatmentStartDate>2022-11-15T13:56:28.623+02:00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245240688</CasePartyID>
        <PartyTypeID>2</PartyTypeID>
        <ActivityStatusID>1</ActivityStatusID>
        <PartyAliasID>20</PartyAliasID>
        <PartyAliasName>בא כוח תובעים</PartyAliasName>
        <OrdinalNumber>2</OrdinalNumber>
        <LegalEntityID>75416452</LegalEntityID>
        <CaseLegalEntityID>121117209</CaseLegalEntityID>
        <AuthenticationTypeID>4</AuthenticationTypeID>
        <AuthenticationTypeName>מ.ר.</AuthenticationTypeName>
        <LegalEntityNumber>72102</LegalEntityNumber>
        <IsMainPartyType>true</IsMainPartyType>
        <CaseDisplayIdentifier>66854-08-22</CaseDisplayIdentifier>
        <CaseTypeID>1</CaseTypeID>
        <CaseTypeName>תיק אזרחי בסדר דין רגיל (ת"א)</CaseTypeName>
        <CaseName>בלסיאנו נ' עיריית בת ים</CaseName>
        <FullAddress>השר שפירא 6 בת ים </FullAddress>
        <MotionID>0</MotionID>
        <CasePleaID>0</CasePleaID>
        <LinkedCaseID>0</LinkedCaseID>
        <PartyID>1</PartyID>
        <CasePartyCategoryID>2</CasePartyCategoryID>
        <LegalEntityAddressID>78554133</LegalEntityAddressID>
        <PleaTypeID>4</PleaTypeID>
        <LawyerOfficeName>משרד עו"ד ליעוז בלסיאנו</LawyerOfficeName>
        <LawyerOfficeID>75416453</LawyerOfficeID>
        <GroupPartyAlias/>
        <IsConverted>false</IsConverted>
        <LegalEntityNameID>81883390</LegalEntityNameID>
        <RepresentatedNamesOfAssistant/>
        <LegalEntityTypeID>4</LegalEntityTypeID>
        <IsVerdictExists>false</IsVerdictExists>
        <IsAsirAzir>false</IsAsirAzir>
        <IsPublicationProhibited>false</IsPublicationProhibited>
        <PublicationProhibitedFullName>ליעוז בלסיאנו</PublicationProhibitedFullName>
      </CaseParties>
    </CasePartiesSelectionDS>
    <DecisionName>פסק דין  שניתנה ע"י  אביים ברקאי</DecisionName>
    <CourtDisplayName>בית משפט השלום בתל אביב -יפו</CourtDisplayName>
    <IsCaseJudgePanel>false</IsCaseJudgePanel>
    <DecisionSignatureDate>2023-09-06T10:04:41.9875896+03:00</DecisionSignatureDate>
    <OpenCaseDate>2022-08-31T08:05:00+03:00</OpenCaseDate>
    <CaseFeeSum>0.000</CaseFeeSum>
    <DecisionTypeID>2</DecisionTypeID>
    <DecisionSignatureUserName>אביים ברקאי</DecisionSignatureUserName>
    <DecisionSignatureDateHebrew>2023-09-06T10:04:41.9875896+03:00</DecisionSignatureDateHebrew>
    <DecisionWriterID>022147607@GOV.IL</DecisionWriterID>
    <CourtAddress>רח' שוקן 25, תל אביב -יפו 66532</CourtAddress>
    <IsAutoTextInCaseExist>false</IsAutoTextInCaseExist>
    <DecisionSignatureRoleName>שופט</DecisionSignatureRoleName>
    <DecisionSignatureUserTitleName>שופט</DecisionSignatureUserTitleName>
    <CaseName>בלסיאנו נ' עיריית בת ים</CaseName>
    <DecisionNumberInCase>4</DecisionNumberInCase>
  </dt_Decision>
  <dt_DecisionCase>
    <DecisionID>0</DecisionID>
    <CaseID>79568990</CaseID>
    <CaseJudicialPersonPresentationDS>
      <CaseJudicalPersonActive>
        <CaseID>79568990</CaseID>
        <JudicialPersonID>022147607@GOV.IL</JudicialPersonID>
        <JudicialPersonTypeID>1</JudicialPersonTypeID>
        <JudicialTypeID>1</JudicialTypeID>
        <IsChairman>false</IsChairman>
        <TreatmentStartDate>2022-11-15T13:56:28.623+02:00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נורי קונפורטי</FullName>
        <FirstName>נורי</FirstName>
        <LastName>קונפורטי</LastName>
        <PartyPropertyName/>
        <AuthenticationTypeAndNumber>מ.ר. 6612</AuthenticationTypeAndNumber>
        <RepresentatedOrRepresentativesNames xml:space="preserve"> </RepresentatedOrRepresentativesNames>
        <RepresentatedOrRepresentativesCount>1</RepresentatedOrRepresentativesCount>
        <InvitedBy/>
        <CaseID>79568990</CaseID>
        <CaseJudicialPersonPresentationDS>
          <CaseJudicalPersonActive>
            <CaseID>79568990</CaseID>
            <JudicialPersonID>022147607@GOV.IL</JudicialPersonID>
            <JudicialPersonTypeID>1</JudicialPersonTypeID>
            <JudicialTypeID>1</JudicialTypeID>
            <IsChairman>false</IsChairman>
            <TreatmentStartDate>2022-11-15T13:56:28.623+02:00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245290924</CasePartyID>
        <PartyTypeID>2</PartyTypeID>
        <ActivityStatusID>1</ActivityStatusID>
        <PartyAliasID>21</PartyAliasID>
        <PartyAliasName>בא כוח נתבעים</PartyAliasName>
        <LegalEntityID>380017</LegalEntityID>
        <CaseLegalEntityID>121137433</CaseLegalEntityID>
        <AuthenticationTypeID>4</AuthenticationTypeID>
        <AuthenticationTypeName>מ.ר.</AuthenticationTypeName>
        <LegalEntityNumber>6612</LegalEntityNumber>
        <IsMainPartyType>true</IsMainPartyType>
        <CaseDisplayIdentifier>66854-08-22</CaseDisplayIdentifier>
        <CaseTypeID>1</CaseTypeID>
        <CaseTypeName>תיק אזרחי בסדר דין רגיל (ת"א)</CaseTypeName>
        <CaseName>בלסיאנו נ' עיריית בת ים</CaseName>
        <FullAddress>בר כוכבא 16 בני ברק בית נעה</FullAddress>
        <EmailAddress>nuri@conforti-law.co.il</EmailAddress>
        <MotionID>0</MotionID>
        <CasePleaID>0</CasePleaID>
        <LinkedCaseID>0</LinkedCaseID>
        <PartyID>2</PartyID>
        <CasePartyCategoryID>2</CasePartyCategoryID>
        <LegalEntityAddressID>86635723</LegalEntityAddressID>
        <LegalEntityEmailAddressID>67908728</LegalEntityEmailAddressID>
        <PleaTypeID>4</PleaTypeID>
        <LawyerOfficeName>משרד עו"ד נורי קונפורטי</LawyerOfficeName>
        <LawyerOfficeID>70826420</LawyerOfficeID>
        <GroupPartyAlias/>
        <IsConverted>false</IsConverted>
        <LegalEntityNameID>1001</LegalEntityNameID>
        <RepresentatedNamesOfAssistant/>
        <LegalEntityTypeID>4</LegalEntityTypeID>
        <IsVerdictExists>false</IsVerdictExists>
        <IsAsirAzir>false</IsAsirAzir>
        <IsPublicationProhibited>false</IsPublicationProhibited>
        <PublicationProhibitedFullName>נורי קונפורטי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אבי הורביץ</FullName>
        <FirstName>אבי</FirstName>
        <LastName>הורביץ</LastName>
        <PartyPropertyName/>
        <AuthenticationTypeAndNumber>מ.ר. 11660</AuthenticationTypeAndNumber>
        <RepresentatedOrRepresentativesNames>אורלי בלסיאנו</RepresentatedOrRepresentativesNames>
        <RepresentatedOrRepresentativesCount>1</RepresentatedOrRepresentativesCount>
        <InvitedBy/>
        <CaseID>79568990</CaseID>
        <CaseJudicialPersonPresentationDS>
          <CaseJudicalPersonActive>
            <CaseID>79568990</CaseID>
            <JudicialPersonID>022147607@GOV.IL</JudicialPersonID>
            <JudicialPersonTypeID>1</JudicialPersonTypeID>
            <JudicialTypeID>1</JudicialTypeID>
            <IsChairman>false</IsChairman>
            <TreatmentStartDate>2022-11-15T13:56:28.623+02:00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245240690</CasePartyID>
        <PartyTypeID>2</PartyTypeID>
        <ActivityStatusID>1</ActivityStatusID>
        <PartyAliasID>20</PartyAliasID>
        <PartyAliasName>בא כוח תובעים</PartyAliasName>
        <OrdinalNumber>1</OrdinalNumber>
        <LegalEntityID>380576</LegalEntityID>
        <CaseLegalEntityID>121117211</CaseLegalEntityID>
        <AuthenticationTypeID>4</AuthenticationTypeID>
        <AuthenticationTypeName>מ.ר.</AuthenticationTypeName>
        <LegalEntityNumber>11660</LegalEntityNumber>
        <IsMainPartyType>true</IsMainPartyType>
        <CaseDisplayIdentifier>66854-08-22</CaseDisplayIdentifier>
        <CaseTypeID>1</CaseTypeID>
        <CaseTypeName>תיק אזרחי בסדר דין רגיל (ת"א)</CaseTypeName>
        <CaseName>בלסיאנו נ' עיריית בת ים</CaseName>
        <FullAddress>נחלת יצחק 34 כניסה א תל אביב -יפו </FullAddress>
        <EmailAddress>avihorvitz@bezeqint.net</EmailAddress>
        <MotionID>0</MotionID>
        <CasePleaID>0</CasePleaID>
        <LinkedCaseID>0</LinkedCaseID>
        <PartyID>1</PartyID>
        <CasePartyCategoryID>2</CasePartyCategoryID>
        <LegalEntityAddressID>423558</LegalEntityAddressID>
        <LegalEntityEmailAddressID>67909463</LegalEntityEmailAddressID>
        <PleaTypeID>4</PleaTypeID>
        <LawyerOfficeName>משרד עו"ד: אבי הורביץ</LawyerOfficeName>
        <LawyerOfficeID>421220</LawyerOfficeID>
        <GroupPartyAlias/>
        <IsConverted>false</IsConverted>
        <LegalEntityNameID>1560</LegalEntityNameID>
        <RepresentatedNamesOfAssistant/>
        <LegalEntityTypeID>4</LegalEntityTypeID>
        <IsVerdictExists>false</IsVerdictExists>
        <IsAsirAzir>false</IsAsirAzir>
        <IsPublicationProhibited>false</IsPublicationProhibited>
        <PublicationProhibitedFullName>אבי הורביץ</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אורלי בלסיאנו</FullName>
        <FirstName>אורלי</FirstName>
        <LastName>בלסיאנו</LastName>
        <PartyPropertyName/>
        <AuthenticationTypeAndNumber>ת"ז 057259228</AuthenticationTypeAndNumber>
        <RepresentatedOrRepresentativesNames>ליעוז בלסיאנו, אבי הורביץ</RepresentatedOrRepresentativesNames>
        <RepresentatedOrRepresentativesCount>2</RepresentatedOrRepresentativesCount>
        <InvitedBy/>
        <CaseID>79568990</CaseID>
        <CaseJudicialPersonPresentationDS>
          <CaseJudicalPersonActive>
            <CaseID>79568990</CaseID>
            <JudicialPersonID>022147607@GOV.IL</JudicialPersonID>
            <JudicialPersonTypeID>1</JudicialPersonTypeID>
            <JudicialTypeID>1</JudicialTypeID>
            <IsChairman>false</IsChairman>
            <TreatmentStartDate>2022-11-15T13:56:28.623+02:00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245240689</CasePartyID>
        <PartyTypeID>1</PartyTypeID>
        <ActivityStatusID>1</ActivityStatusID>
        <PartyAliasID>1</PartyAliasID>
        <PartyAliasName>תובע</PartyAliasName>
        <OrdinalNumber>1</OrdinalNumber>
        <LegalEntityID>70425834</LegalEntityID>
        <CaseLegalEntityID>121117210</CaseLegalEntityID>
        <AuthenticationTypeID>1</AuthenticationTypeID>
        <AuthenticationTypeName>ת"ז</AuthenticationTypeName>
        <LegalEntityNumber>057259228</LegalEntityNumber>
        <IsMainPartyType>true</IsMainPartyType>
        <CaseDisplayIdentifier>66854-08-22</CaseDisplayIdentifier>
        <CaseTypeID>1</CaseTypeID>
        <CaseTypeName>תיק אזרחי בסדר דין רגיל (ת"א)</CaseTypeName>
        <CaseName>בלסיאנו נ' עיריית בת ים</CaseName>
        <FullAddress>השר שפירא 6 בת ים </FullAddress>
        <MotionID>0</MotionID>
        <CasePleaID>0</CasePleaID>
        <FatherName>יעקב</FatherName>
        <LinkedCaseID>0</LinkedCaseID>
        <PartyID>1</PartyID>
        <CasePartyCategoryID>2</CasePartyCategoryID>
        <LegalEntityAddressID>86922710</LegalEntityAddressID>
        <PleaTypeID>4</PleaTypeID>
        <GroupPartyAlias>תובעים</GroupPartyAlias>
        <IsConverted>false</IsConverted>
        <LegalEntityRegisteredNameID>2878513</LegalEntityRegisteredNameID>
        <LegalEntityNameID>93623747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אורלי בלסיאנו</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עיריית בת ים</FullName>
        <LastName>עיריית בת ים</LastName>
        <PartyPropertyName/>
        <AuthenticationTypeAndNumber>רשויות מקומיות 500262001</AuthenticationTypeAndNumber>
        <RepresentatedOrRepresentativesNames>נורי קונפורטי</RepresentatedOrRepresentativesNames>
        <RepresentatedOrRepresentativesCount>1</RepresentatedOrRepresentativesCount>
        <InvitedBy/>
        <CaseID>79568990</CaseID>
        <CaseJudicialPersonPresentationDS>
          <CaseJudicalPersonActive>
            <CaseID>79568990</CaseID>
            <JudicialPersonID>022147607@GOV.IL</JudicialPersonID>
            <JudicialPersonTypeID>1</JudicialPersonTypeID>
            <JudicialTypeID>1</JudicialTypeID>
            <IsChairman>false</IsChairman>
            <TreatmentStartDate>2022-11-15T13:56:28.623+02:00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245240691</CasePartyID>
        <PartyTypeID>1</PartyTypeID>
        <ActivityStatusID>1</ActivityStatusID>
        <PartyAliasID>2</PartyAliasID>
        <PartyAliasName>נתבע</PartyAliasName>
        <OrdinalNumber>1</OrdinalNumber>
        <LegalEntityID>470</LegalEntityID>
        <CaseLegalEntityID>121117212</CaseLegalEntityID>
        <AuthenticationTypeID>14</AuthenticationTypeID>
        <AuthenticationTypeName>רשויות מקומיות</AuthenticationTypeName>
        <LegalEntityNumber>500262001</LegalEntityNumber>
        <IsMainPartyType>true</IsMainPartyType>
        <CaseDisplayIdentifier>66854-08-22</CaseDisplayIdentifier>
        <CaseTypeID>1</CaseTypeID>
        <CaseTypeName>תיק אזרחי בסדר דין רגיל (ת"א)</CaseTypeName>
        <CaseName>בלסיאנו נ' עיריית בת ים</CaseName>
        <FullAddress>נורדאו בת ים </FullAddress>
        <EmailAddress>hanna_c@bat-yam.muni.il</EmailAddress>
        <MotionID>0</MotionID>
        <CasePleaID>0</CasePleaID>
        <LinkedCaseID>0</LinkedCaseID>
        <PartyID>2</PartyID>
        <CasePartyCategoryID>2</CasePartyCategoryID>
        <LegalEntityAddressID>86927634</LegalEntityAddressID>
        <LegalEntityEmailAddressID>68181573</LegalEntityEmailAddressID>
        <PleaTypeID>4</PleaTypeID>
        <GroupPartyAlias>נתבעים</GroupPartyAlias>
        <IsConverted>false</IsConverted>
        <LegalEntityRegisteredNameID>1717368</LegalEntityRegisteredNameID>
        <RepresentatedNamesOfAssistant/>
        <LegalEntityTypeID>3</LegalEntityTypeID>
        <IsVerdictExists>false</IsVerdictExists>
        <IsAsirAzir>false</IsAsirAzir>
        <IsPublicationProhibited>false</IsPublicationProhibited>
        <PublicationProhibitedFullName>עיריית בת ים</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ליעוז בלסיאנו</FullName>
        <FirstName>ליעוז</FirstName>
        <LastName>בלסיאנו</LastName>
        <PartyPropertyName/>
        <AuthenticationTypeAndNumber>מ.ר. 72102</AuthenticationTypeAndNumber>
        <RepresentatedOrRepresentativesNames>אורלי בלסיאנו</RepresentatedOrRepresentativesNames>
        <RepresentatedOrRepresentativesCount>1</RepresentatedOrRepresentativesCount>
        <InvitedBy/>
        <CaseID>79568990</CaseID>
        <CaseJudicialPersonPresentationDS>
          <CaseJudicalPersonActive>
            <CaseID>79568990</CaseID>
            <JudicialPersonID>022147607@GOV.IL</JudicialPersonID>
            <JudicialPersonTypeID>1</JudicialPersonTypeID>
            <JudicialTypeID>1</JudicialTypeID>
            <IsChairman>false</IsChairman>
            <TreatmentStartDate>2022-11-15T13:56:28.623+02:00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245240688</CasePartyID>
        <PartyTypeID>2</PartyTypeID>
        <ActivityStatusID>1</ActivityStatusID>
        <PartyAliasID>20</PartyAliasID>
        <PartyAliasName>בא כוח תובעים</PartyAliasName>
        <OrdinalNumber>2</OrdinalNumber>
        <LegalEntityID>75416452</LegalEntityID>
        <CaseLegalEntityID>121117209</CaseLegalEntityID>
        <AuthenticationTypeID>4</AuthenticationTypeID>
        <AuthenticationTypeName>מ.ר.</AuthenticationTypeName>
        <LegalEntityNumber>72102</LegalEntityNumber>
        <IsMainPartyType>true</IsMainPartyType>
        <CaseDisplayIdentifier>66854-08-22</CaseDisplayIdentifier>
        <CaseTypeID>1</CaseTypeID>
        <CaseTypeName>תיק אזרחי בסדר דין רגיל (ת"א)</CaseTypeName>
        <CaseName>בלסיאנו נ' עיריית בת ים</CaseName>
        <FullAddress>השר שפירא 6 בת ים </FullAddress>
        <MotionID>0</MotionID>
        <CasePleaID>0</CasePleaID>
        <LinkedCaseID>0</LinkedCaseID>
        <PartyID>1</PartyID>
        <CasePartyCategoryID>2</CasePartyCategoryID>
        <LegalEntityAddressID>78554133</LegalEntityAddressID>
        <PleaTypeID>4</PleaTypeID>
        <LawyerOfficeName>משרד עו"ד ליעוז בלסיאנו</LawyerOfficeName>
        <LawyerOfficeID>75416453</LawyerOfficeID>
        <GroupPartyAlias/>
        <IsConverted>false</IsConverted>
        <LegalEntityNameID>81883390</LegalEntityNameID>
        <RepresentatedNamesOfAssistant/>
        <LegalEntityTypeID>4</LegalEntityTypeID>
        <IsVerdictExists>false</IsVerdictExists>
        <IsAsirAzir>false</IsAsirAzir>
        <IsPublicationProhibited>false</IsPublicationProhibited>
        <PublicationProhibitedFullName>ליעוז בלסיאנו</PublicationProhibitedFullName>
      </CaseParties>
    </CasePartiesSelectionDS>
    <CaseName>בלסיאנו נ' עיריית בת ים</CaseName>
    <CaseDisplayIdentifier>66854-08-22</CaseDisplayIdentifier>
    <CaseInterestID>105</CaseInterestID>
    <CaseTypeShortName>ת"א</CaseTypeShortName>
  </dt_DecisionCase>
  <dt_DecisionJudgePanel>
    <JudgeID>022147607@GOV.IL</JudgeID>
    <DisplayName>אביים ברקאי</DisplayName>
    <RoleName>שופט</RoleName>
    <UserTitleName>שופט</UserTitleName>
  </dt_DecisionJudgePanel>
  <dt_LegalEntityDetails>
    <Fax>03-5224338</Fax>
    <Phone>03-5290263</Phone>
    <AddressDesc>בית נעה </AddressDesc>
    <PartyID>2</PartyID>
    <PartyTypeID>2</PartyTypeID>
    <DecisionID>0</DecisionID>
    <StreetName>בר כוכבא 16 </StreetName>
    <ZipCode>5126107</ZipCode>
    <CityName>בני ברק</CityName>
    <FullName>נורי קונפורטי</FullName>
    <Email>nuri@conforti-law.co.il</Email>
    <IsPublicationProhibited>false</IsPublicationProhibited>
  </dt_LegalEntityDetails>
  <dt_LegalEntityDetails>
    <PartyID>1</PartyID>
    <PartyTypeID>1</PartyTypeID>
    <DecisionID>0</DecisionID>
    <StreetName>השר שפירא 6</StreetName>
    <ZipCode>595510</ZipCode>
    <CityName>בת ים</CityName>
    <FullName>אורלי בלסיאנו</FullName>
    <IsPublicationProhibited>false</IsPublicationProhibited>
  </dt_LegalEntityDetails>
  <dt_LegalEntityDetails>
    <Fax>03-6955350</Fax>
    <Phone>03-6099444</Phone>
    <PartyID>1</PartyID>
    <PartyTypeID>2</PartyTypeID>
    <DecisionID>0</DecisionID>
    <StreetName>נחלת יצחק 34 כניסה א</StreetName>
    <ZipCode>67448</ZipCode>
    <CityName>תל אביב -יפו</CityName>
    <FullName>אבי הורביץ</FullName>
    <Email>avihorvitz@bezeqint.net</Email>
    <IsPublicationProhibited>false</IsPublicationProhibited>
  </dt_LegalEntityDetails>
  <dt_LegalEntityDetails>
    <PartyID>2</PartyID>
    <PartyTypeID>1</PartyTypeID>
    <DecisionID>0</DecisionID>
    <StreetName>נורדאו</StreetName>
    <CityName>בת ים</CityName>
    <FullName> עיריית בת ים</FullName>
    <Email>sarita@nimlaw.co.il</Email>
    <IsPublicationProhibited>false</IsPublicationProhibited>
  </dt_LegalEntityDetails>
  <dt_LegalEntityDetails>
    <Fax>03-5550714</Fax>
    <Phone>03-5550494</Phone>
    <PartyID>1</PartyID>
    <PartyTypeID>2</PartyTypeID>
    <DecisionID>0</DecisionID>
    <StreetName>השר שפירא 6</StreetName>
    <ZipCode>5955510</ZipCode>
    <CityName>בת ים</CityName>
    <FullName>ליעוז בלסיאנו</FullName>
    <IsPublicationProhibited>false</IsPublicationProhibited>
  </dt_LegalEntityDetails>
  <dt_CaseJudicalPersonActive>
    <CaseJudicalPerson>שופט אביים ברקאי</CaseJudicalPerson>
  </dt_CaseJudicalPersonActive>
  <dt_Sitting>
    <PreviousMeetingDate>2023-04-24T10:30:00+03:00</PreviousMeetingDate>
    <PreviousSittingTypeID>30</PreviousSittingTypeID>
    <PreviousMeetingDisplayName>שופט אביים ברקאי</PreviousMeetingDisplayName>
    <PreviousMeetingRoleName>שופט</PreviousMeetingRoleName>
    <PreviousMeetingUserTitleName>שופט</PreviousMeetingUserTitleName>
    <PreviousMeetingUserUPN>022147607@GOV.IL</PreviousMeetingUserUPN>
  </dt_Sitting>
</DecisionTemplateDS>
</file>

<file path=customXml/itemProps1.xml><?xml version="1.0" encoding="utf-8"?>
<ds:datastoreItem xmlns:ds="http://schemas.openxmlformats.org/officeDocument/2006/customXml" ds:itemID="{F83E353C-431A-43E0-B3AB-E99D3CEBF86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2591</Words>
  <Characters>12957</Characters>
  <Application>Microsoft Office Word</Application>
  <DocSecurity>0</DocSecurity>
  <Lines>107</Lines>
  <Paragraphs>31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15517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2023-09-11T06:23:00Z</dcterms:created>
  <dcterms:modified xsi:type="dcterms:W3CDTF">2023-09-11T06:23:00Z</dcterms:modified>
</cp:coreProperties>
</file>